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2ACD62" w14:textId="77777777" w:rsidR="003A090D" w:rsidRDefault="003A090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"/>
        <w:tblW w:w="15588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213"/>
        <w:gridCol w:w="3692"/>
        <w:gridCol w:w="2683"/>
      </w:tblGrid>
      <w:tr w:rsidR="003A090D" w14:paraId="537DCA63" w14:textId="77777777">
        <w:trPr>
          <w:gridAfter w:val="2"/>
          <w:wAfter w:w="6375" w:type="dxa"/>
        </w:trPr>
        <w:tc>
          <w:tcPr>
            <w:tcW w:w="9213" w:type="dxa"/>
          </w:tcPr>
          <w:p w14:paraId="0F15D44A" w14:textId="77777777" w:rsidR="003A090D" w:rsidRDefault="00B0126B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>Lublin, 09.09.2024</w:t>
            </w:r>
          </w:p>
        </w:tc>
      </w:tr>
      <w:tr w:rsidR="003A090D" w14:paraId="330592E7" w14:textId="77777777">
        <w:trPr>
          <w:gridAfter w:val="2"/>
          <w:wAfter w:w="6375" w:type="dxa"/>
        </w:trPr>
        <w:tc>
          <w:tcPr>
            <w:tcW w:w="9213" w:type="dxa"/>
          </w:tcPr>
          <w:p w14:paraId="1BCA17F3" w14:textId="77777777" w:rsidR="003A090D" w:rsidRDefault="003A090D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3A090D" w14:paraId="2DBBB649" w14:textId="77777777">
        <w:tc>
          <w:tcPr>
            <w:tcW w:w="12905" w:type="dxa"/>
            <w:gridSpan w:val="2"/>
          </w:tcPr>
          <w:p w14:paraId="77E188A6" w14:textId="77777777" w:rsidR="003A090D" w:rsidRDefault="00B0126B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Dr hab. n. med. Anna Jamroz-Wiśniewska, prof. UM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 xml:space="preserve">Katedra i Klinika Neurologii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Uniwersytet Medyczny w Lublinie</w:t>
            </w:r>
          </w:p>
        </w:tc>
        <w:tc>
          <w:tcPr>
            <w:tcW w:w="2683" w:type="dxa"/>
          </w:tcPr>
          <w:p w14:paraId="22443541" w14:textId="77777777" w:rsidR="003A090D" w:rsidRDefault="003A090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154CE6CA" w14:textId="77777777" w:rsidR="003A090D" w:rsidRDefault="003A090D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423E85CF" w14:textId="77777777" w:rsidR="003A090D" w:rsidRDefault="003A090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3A03967" w14:textId="77777777" w:rsidR="003A090D" w:rsidRDefault="00B0126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Ocena</w:t>
      </w:r>
    </w:p>
    <w:p w14:paraId="64C71123" w14:textId="77777777" w:rsidR="003A090D" w:rsidRDefault="00B0126B">
      <w:pPr>
        <w:spacing w:after="0" w:line="36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rozprawy doktorskiej lek. Julii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Rudnickiej-Czerwiec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pt. „Analiza populacji komórek NK u pacjentów z rzutowo-remisyjną i pierwotnie postępującą postacią stwardnienia rozsianego”</w:t>
      </w:r>
    </w:p>
    <w:p w14:paraId="43E95B22" w14:textId="77777777" w:rsidR="003A090D" w:rsidRDefault="003A090D">
      <w:pPr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A5A0502" w14:textId="77777777" w:rsidR="003A090D" w:rsidRDefault="00B0126B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Stwardnienie rozsiane (ang.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multiple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sclerosis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, MS) jest autoimmunologiczną chorobą ośrodkowego układu nerwowego (OUN) najczęściej dotykającą młodych dorosłych, której patogeneza nie została dotychczas dokładnie wyjaśniona. Zachodząca w MS reakcja autoimmunologiczna wynika z zachwiania równowagi pomiędzy aktywnością zapalną – efektorową i regulatorową. Biorą w niej udział limfocyty TCD4+, limfocyty TCD8+, limfocyty B i elementy odpowiedzi nieswoistej. Do istotnych elementów odpowiedzi nieswoistej biorącej udział w patogenezie MS należą komórki NK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natural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killer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). Doniesienia dotyczące roli tych komórek w MS są niejednoznaczne: ich działania mają zarówno charakter regulatorowy jak i patogenny, ponieważ pełnią w organizmie różne funkcje. Dlatego wydaje się w pełni uzasadnione, że Doktorantka podjęła temat oceny znaczenia komórek NK w patogenezie MS. </w:t>
      </w:r>
    </w:p>
    <w:p w14:paraId="1A7F1FE1" w14:textId="77777777" w:rsidR="003A090D" w:rsidRDefault="00B0126B">
      <w:pPr>
        <w:spacing w:line="360" w:lineRule="auto"/>
        <w:ind w:right="10" w:firstLine="99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Przedstawiona do oceny rozprawa doktorska ma klasyczny układ, z podziałem na kolejne rozdziały, jak wstęp, cel pracy i pytania badawcze, pacjenci, materiał i metody, wyniki, dyskusja, podsumowanie wyników i wnioski. Wstęp poprzedza wykaz skrótów używanych w tekście. Na końcu rozprawy zamieszczono streszczenie w języku polskim </w:t>
      </w: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i angielskim, piśmiennictwo, spis tabel, spis rycin oraz załączniki w postaci skanu uchwał Komisji Bioetycznej z podpisami jej członków. </w:t>
      </w:r>
    </w:p>
    <w:p w14:paraId="19F6C1C6" w14:textId="77777777" w:rsidR="003A090D" w:rsidRDefault="00B0126B">
      <w:pPr>
        <w:spacing w:after="0" w:line="360" w:lineRule="auto"/>
        <w:ind w:firstLine="35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We Wstępie Doktorantka scharakteryzowała epidemiologię choroby, która była przedmiotem Jej badań, opisała czynniki ryzyka i patogenezę MS, podała podział na fenotypy MS,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t.j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.: klinicznie izolowany zespół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clinically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isolated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syndrome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, CIS), postać rzutowo-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remisyjna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relapsing-remitting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MS, RRMS), wtórnie postępująca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secondary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progressive MS, SPMS) i pierwotnie postępująca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primary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progressive MS, PPMS) oraz kryteria ich rozpoznania. Następnie scharakteryzowała mechanizmy odporności wrodzonej, opisując rolę poszczególnych komórek efektorowych odporności wrodzonej w patogenezie MS, podając dostępne w literaturze naukowej informacje na temat roli komórek NK w OUN i patogenezie MS. Podkreśliła, że doniesienia dotyczące komórek NK i ich roli w patogenezie MS są niejednoznaczne, ponieważ mogą one pełnić różne funkcje - od cytotoksycznych po regulatorowe, w związku z czym potrzebne są dalsze badania celem określenia roli tych komórek w patogenezie MS. </w:t>
      </w:r>
    </w:p>
    <w:p w14:paraId="2A7483E6" w14:textId="77777777" w:rsidR="003A090D" w:rsidRDefault="00B0126B">
      <w:pPr>
        <w:spacing w:after="0" w:line="360" w:lineRule="auto"/>
        <w:ind w:firstLine="35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Następnie Doktorantka przedstawiła cel pracy i pytania badawcze. Celem pracy była ocena znaczenia komórek NK w patogenezie MS. Pytania badawcze dotyczą zagadnienia ewentualnych różnic w fenotypie komórek NK, wydzielaniu enzymów litycznych i cytokin przez komórki NK oraz funkcji komórek NK pomiędzy grupami pacjentów z RRMS, PPMS a grupą kontrolną. </w:t>
      </w:r>
    </w:p>
    <w:p w14:paraId="52F4E685" w14:textId="77777777" w:rsidR="003A090D" w:rsidRDefault="00B0126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W rozdziale Pacjenci, Materiał i metody, Doktorantka opisała grupę badaną i kryteria włączenia do badania, a także grupę kontrolną z warunkami kwalifikacji do badania. Do badania włączono 35 pacjentów z MS - 22 pacjentów z RRMS i 13 pacjentów z PPMS; grupę kontrolną stanowiło 15 zdrowych osób. W ocenie analitycznej wykorzystano próbki krwi żylnej pobranej w grupie chorych z RRMS i PPMS oraz grupie osób zdrowych stanowiących grupę kontrolną. </w:t>
      </w:r>
    </w:p>
    <w:p w14:paraId="183C5F99" w14:textId="77777777" w:rsidR="003A090D" w:rsidRDefault="00B0126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Następnie Doktorantka opisała metodologię Analizy materiału: izolację komórek jednojądrzastych krwi obwodowej, zakładanie hodowli komórkowych, oznaczanie markerów powierzchniowych komórek, markerów wewnątrzkomórkowych, analizę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cytometryczną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Metodykę zobrazowała na czytelnych rycinach. W zakończeniu rozdziału opisała analizę statystyczną wyników. Dobór i procedury zastosowanych metod </w:t>
      </w: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badawczych oceniam jako prawidłowe i nowoczesne. Na przeprowadzenie badania uzyskano zgodę Komisji Bioetycznej przy Izbie Lekarskiej w Rzeszowie. </w:t>
      </w:r>
    </w:p>
    <w:p w14:paraId="5F2C3DE8" w14:textId="77777777" w:rsidR="003A090D" w:rsidRDefault="00B0126B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W rozdziale Wyniki, na 50 stronach Autorka zaprezentowała charakterystykę grupy badanej i kontrolnej z omówieniem wyników badań, które przedstawiła w postaci tabel i rycin, co ułatwiło ich czytelność.</w:t>
      </w:r>
    </w:p>
    <w:p w14:paraId="3F4FD881" w14:textId="77777777" w:rsidR="003A090D" w:rsidRDefault="00B0126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W kolejnym rozdziale „Dyskusja”, z dużym znawstwem problematyki badawczej, uzyskane wyniki własne zamieszczone w opublikowanych materiałach porównywała i dyskutowała z wynikami opisywanymi przez innych badaczy. </w:t>
      </w:r>
    </w:p>
    <w:p w14:paraId="7531A3ED" w14:textId="77777777" w:rsidR="003A090D" w:rsidRDefault="00B0126B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Na uwagę zasługują wyniki analizy populacji komórek NK u pacjentów z MS w konfrontacji z grupą kontrolną.</w:t>
      </w:r>
    </w:p>
    <w:p w14:paraId="0C6ABDDA" w14:textId="77777777" w:rsidR="003A090D" w:rsidRDefault="00B0126B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Komórki NK pacjentów z MS różnią się od komórek NK osób zdrowych</w:t>
      </w:r>
    </w:p>
    <w:p w14:paraId="76020652" w14:textId="1A407CA2" w:rsidR="003A090D" w:rsidRDefault="004409D6" w:rsidP="004409D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B012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odsetkiem komórek zawierających </w:t>
      </w:r>
      <w:proofErr w:type="spellStart"/>
      <w:r w:rsidR="00B0126B">
        <w:rPr>
          <w:rFonts w:ascii="Times New Roman" w:eastAsia="Times New Roman" w:hAnsi="Times New Roman" w:cs="Times New Roman"/>
          <w:color w:val="000000"/>
          <w:sz w:val="26"/>
          <w:szCs w:val="26"/>
        </w:rPr>
        <w:t>granzym</w:t>
      </w:r>
      <w:proofErr w:type="spellEnd"/>
      <w:r w:rsidR="00B012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B i K, ale nie odsetkiem komórek zawierających </w:t>
      </w:r>
      <w:proofErr w:type="spellStart"/>
      <w:r w:rsidR="00B0126B">
        <w:rPr>
          <w:rFonts w:ascii="Times New Roman" w:eastAsia="Times New Roman" w:hAnsi="Times New Roman" w:cs="Times New Roman"/>
          <w:color w:val="000000"/>
          <w:sz w:val="26"/>
          <w:szCs w:val="26"/>
        </w:rPr>
        <w:t>perforynę</w:t>
      </w:r>
      <w:proofErr w:type="spellEnd"/>
    </w:p>
    <w:p w14:paraId="46B9657C" w14:textId="32CB7F6D" w:rsidR="003A090D" w:rsidRDefault="004409D6" w:rsidP="004409D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B012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zawartością transformującego czynnika wzrostu beta (ang. </w:t>
      </w:r>
      <w:proofErr w:type="spellStart"/>
      <w:r w:rsidR="00B0126B">
        <w:rPr>
          <w:rFonts w:ascii="Times New Roman" w:eastAsia="Times New Roman" w:hAnsi="Times New Roman" w:cs="Times New Roman"/>
          <w:color w:val="000000"/>
          <w:sz w:val="26"/>
          <w:szCs w:val="26"/>
        </w:rPr>
        <w:t>transforming</w:t>
      </w:r>
      <w:proofErr w:type="spellEnd"/>
      <w:r w:rsidR="00B012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0126B">
        <w:rPr>
          <w:rFonts w:ascii="Times New Roman" w:eastAsia="Times New Roman" w:hAnsi="Times New Roman" w:cs="Times New Roman"/>
          <w:color w:val="000000"/>
          <w:sz w:val="26"/>
          <w:szCs w:val="26"/>
        </w:rPr>
        <w:t>growth</w:t>
      </w:r>
      <w:proofErr w:type="spellEnd"/>
      <w:r w:rsidR="00B012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0126B">
        <w:rPr>
          <w:rFonts w:ascii="Times New Roman" w:eastAsia="Times New Roman" w:hAnsi="Times New Roman" w:cs="Times New Roman"/>
          <w:color w:val="000000"/>
          <w:sz w:val="26"/>
          <w:szCs w:val="26"/>
        </w:rPr>
        <w:t>factor</w:t>
      </w:r>
      <w:proofErr w:type="spellEnd"/>
      <w:r w:rsidR="00B012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beta, TGF-β), interferonu gamma (ang. interferon gamma, IFN-γ), interleukiny (IL) IL-10, IL-4, ale nie IL-13.</w:t>
      </w:r>
    </w:p>
    <w:p w14:paraId="51771CE3" w14:textId="77777777" w:rsidR="003A090D" w:rsidRDefault="00B0126B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Komórki NK pacjentów z MS poprzez mniejszą zawartość cytokin przeciwzapalnych, mogą wykazywać osłabioną funkcję regulatorową w porównaniu do komórek NK zdrowych osób.</w:t>
      </w:r>
    </w:p>
    <w:p w14:paraId="619C1E4F" w14:textId="77777777" w:rsidR="003A090D" w:rsidRDefault="00B0126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Komórki NK pacjentów z badanymi fenotypami MS nie różnią się od siebie i od komórek NK osób zdrowych</w:t>
      </w:r>
    </w:p>
    <w:p w14:paraId="3D43A17A" w14:textId="29B41EEE" w:rsidR="003A090D" w:rsidRDefault="004409D6" w:rsidP="004409D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B012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odsetkiem danego fenotypu (różnice fenotypowe stwierdzono jedynie na podstawie analizy mediany intensywności fluorescencji (MFI – median </w:t>
      </w:r>
      <w:proofErr w:type="spellStart"/>
      <w:r w:rsidR="00B0126B">
        <w:rPr>
          <w:rFonts w:ascii="Times New Roman" w:eastAsia="Times New Roman" w:hAnsi="Times New Roman" w:cs="Times New Roman"/>
          <w:color w:val="000000"/>
          <w:sz w:val="26"/>
          <w:szCs w:val="26"/>
        </w:rPr>
        <w:t>fluorescence</w:t>
      </w:r>
      <w:proofErr w:type="spellEnd"/>
      <w:r w:rsidR="00B012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0126B">
        <w:rPr>
          <w:rFonts w:ascii="Times New Roman" w:eastAsia="Times New Roman" w:hAnsi="Times New Roman" w:cs="Times New Roman"/>
          <w:color w:val="000000"/>
          <w:sz w:val="26"/>
          <w:szCs w:val="26"/>
        </w:rPr>
        <w:t>intensity</w:t>
      </w:r>
      <w:proofErr w:type="spellEnd"/>
      <w:r w:rsidR="00B0126B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</w:p>
    <w:p w14:paraId="6696AAEC" w14:textId="77777777" w:rsidR="003A090D" w:rsidRDefault="00B0126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Komórki NK pacjentów z badanymi fenotypami MS różnią się od siebie</w:t>
      </w:r>
    </w:p>
    <w:p w14:paraId="3D280543" w14:textId="27392725" w:rsidR="003A090D" w:rsidRDefault="004409D6" w:rsidP="004409D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B0126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zawartością cytokin jedynie w zakresie MFI. </w:t>
      </w:r>
    </w:p>
    <w:p w14:paraId="435EB9E6" w14:textId="77777777" w:rsidR="003A090D" w:rsidRDefault="00B0126B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Odsetek komórek NK pacjentów z badanymi fenotypami MS nie różni się od siebie pod względem zawartości enzymów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cytolitycznych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240E8F3D" w14:textId="77777777" w:rsidR="003A090D" w:rsidRDefault="003A090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5D99D31A" w14:textId="77777777" w:rsidR="003A090D" w:rsidRDefault="00B0126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Rozprawa wzbogacona jest 18 tabelami i 40 rycinami, w których zamieszczone dane pozwalają na lepsze zrozumienie tekstu dysertacji i czytelne zaprezentowanie wyników badań. </w:t>
      </w:r>
    </w:p>
    <w:p w14:paraId="71447245" w14:textId="77777777" w:rsidR="003A090D" w:rsidRDefault="00B0126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Podczas przygotowywania rozprawy do druku Doktorantka nie ustrzegła się kilku drobnych usterek, przede wszystkim literowych/redakcyjnych:</w:t>
      </w:r>
    </w:p>
    <w:p w14:paraId="69E0BB7F" w14:textId="77777777" w:rsidR="003A090D" w:rsidRDefault="00B0126B">
      <w:pPr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sformułowanie drugiego wniosku „Komórki NK pacjentów z MS różnią się od komórek NK osób zdrowych zawartością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granzymu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B i K, ale nie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perforyny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.” lepiej brzmiałoby: „Odsetek komórek NK zawierających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granzym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B i K pacjentów z MS różni się od odsetka komórek NK osób zdrowych, ale nie wykazano różnicy pod względem odsetka komórek zawierających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perforynę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.”,</w:t>
      </w:r>
    </w:p>
    <w:p w14:paraId="6D85EFD8" w14:textId="77777777" w:rsidR="003A090D" w:rsidRDefault="00B0126B">
      <w:pPr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brak wyjaśnienia w tekście niektórych używanych skrótów (np. CD58, TYK2, STAT3 - str. 12, FOXP3+, Tr1 - str. 14, EDSS - podano polską nazwę skali, brak nazwy anglojęzycznej - str. 16), </w:t>
      </w:r>
    </w:p>
    <w:p w14:paraId="464F2336" w14:textId="77777777" w:rsidR="003A090D" w:rsidRDefault="00B0126B">
      <w:pPr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niektóre nazwy, pomimo podania wcześniej skrótów, są używane ponownie w całości (np. stwardnienie rozsiane, zamiast MS), </w:t>
      </w:r>
    </w:p>
    <w:p w14:paraId="65069E44" w14:textId="77777777" w:rsidR="003A090D" w:rsidRDefault="00B0126B">
      <w:pPr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drobne błędy literowe, jak np. brak “w” w zdaniu “Głównymi grupami komórek biorącymi udział reakcji autoimmunologicznej są…”, “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licznia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” zamiast “liczenia” w opisie ryc. 6.</w:t>
      </w:r>
    </w:p>
    <w:p w14:paraId="49F273C4" w14:textId="77777777" w:rsidR="003A090D" w:rsidRDefault="00B0126B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ponadto, sformułowanie hipotezy badawczej, podniosłoby poziom naukowy rozprawy.</w:t>
      </w:r>
    </w:p>
    <w:p w14:paraId="754FF09B" w14:textId="77777777" w:rsidR="003A090D" w:rsidRDefault="00B0126B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Wymienione błędy nie umniejszają wartości merytorycznej pracy.</w:t>
      </w:r>
    </w:p>
    <w:p w14:paraId="16CE5250" w14:textId="77777777" w:rsidR="003A090D" w:rsidRDefault="00B0126B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Podsumowując stwierdzam, że przedstawiona do oceny rozprawa doktorska lek. Julii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Rudnickiej-Czerwiec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stanowi oryginalną, wartościową pracę badawczą, na co składają się takie elementy jak interesująca, nowatorska tematyka badawcza, osiągnięcie zamierzonych celów badawczych, prawidłowo przeprowadzone badania zarówno kliniczne, jak i doświadczalne, poprawna metodyka badań, prawidłowo sformułowane wnioski. Należy podkreślić przeprowadzenie szerokiego zakresu oznaczeń analizy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cytometrycznej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u 50 osób badanych. Omówienie i dyskusja wyników badań wskazują na umiejętność Doktorantki do formułowania i weryfikacji hipotez oraz logicznego wnioskowania. Praca zawarta na 172 stronach, jest dobrze udokumentowana m.in. poprzez cytowanie 274 publikacji (w tym 139 pozycji z ostatnich 10 lat), wyłącznie anglojęzycznych. </w:t>
      </w:r>
    </w:p>
    <w:p w14:paraId="04387F0A" w14:textId="77777777" w:rsidR="003A090D" w:rsidRDefault="00B0126B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Należy podkreślić, że Doktorantka wykonała szereg oznaczeń analizy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cytometrycznej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otrzymując wyniki dotyczące wielorakich zmiennych: fenotyp komórek NK w różnych subpopulacjach, odsetek komórek z wewnątrzkomórkową zawartością enzymów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cytolitycznych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granzymu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B,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granzymu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K) i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perforyny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oraz wewnątrzkomórkowa zawartość cytokin (TGF-β, IFN-γ, IL-10, IL-4, IL-13). Otrzymała szereg wyników dla trzech grup badanych (RRMS, PPMS, grupa kontrolna), które czytelnie przedstawiła w 12 tabelach i na 30 rycinach, z oznaczeniem w kolorze wyników z istotnością statystyczną. Uzyskane rezultaty badań niewątpliwie przyczynią się do poznania patogenezy MS. </w:t>
      </w:r>
    </w:p>
    <w:p w14:paraId="066E4A0D" w14:textId="77777777" w:rsidR="003A090D" w:rsidRDefault="00B0126B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Z uwagi na powyższe, jednoznacznie stwierdzam, że rozprawa pt.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„Analiza populacji komórek NK u pacjentów z rzutowo-remisyjną i pierwotnie postępującą postacią stwardnienia rozsianego”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spełnia wymogi określone w art. 187 Ustawy z dnia 20. lipca 2018 Prawo o szkolnictwie wyższym i nauce, stawiane pracy doktorskiej i mam zaszczyt przedstawić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Radzie Naukowej Kolegium Nauk Medycznych Uniwersytetu Rzeszowskiego – wniosek o dopuszczenie lek. Julii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Rudnickiej-Czerwiec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do dalszych etapów przewodu doktorskiego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14:paraId="501B76AA" w14:textId="77777777" w:rsidR="003A090D" w:rsidRDefault="00B0126B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6"/>
          <w:szCs w:val="26"/>
        </w:rPr>
        <w:t xml:space="preserve">Przedłożona rozprawa doktorska wnosi nowe wartości poznawcze z zakresu badań immunologicznych w MS dotyczących m.in. różnic w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immunofenotypie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komórek NK z uwzględnieniem populacji komórek z wewnątrzkomórkową zawartością enzymów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cytolitycznych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i cytokin, dlatego wnoszę o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wyróżnienie dysertacji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lek. Julii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Rudnickiej-Czerwiec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  </w:t>
      </w:r>
    </w:p>
    <w:sectPr w:rsidR="003A090D">
      <w:footerReference w:type="default" r:id="rId8"/>
      <w:pgSz w:w="11906" w:h="16838"/>
      <w:pgMar w:top="1417" w:right="1281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42115" w14:textId="77777777" w:rsidR="00B0126B" w:rsidRDefault="00B0126B">
      <w:pPr>
        <w:spacing w:after="0" w:line="240" w:lineRule="auto"/>
      </w:pPr>
      <w:r>
        <w:separator/>
      </w:r>
    </w:p>
  </w:endnote>
  <w:endnote w:type="continuationSeparator" w:id="0">
    <w:p w14:paraId="4C1767CE" w14:textId="77777777" w:rsidR="00B0126B" w:rsidRDefault="00B012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C743A448-C588-4080-928C-39C3B7C820B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1C328FD6-0CCA-49CC-8194-34FCD4E9E402}"/>
    <w:embedBold r:id="rId3" w:fontKey="{5FB64E4D-D318-4797-94F0-A01B822487F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61A29200-2F82-4B4A-BA13-A3AE53DAAD46}"/>
    <w:embedItalic r:id="rId5" w:fontKey="{0CD6D7AA-6FA1-4FDE-87A4-EF61804249D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9898F30F-7B13-478E-A779-000703DE51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8F3551" w14:textId="77777777" w:rsidR="003A090D" w:rsidRDefault="00B0126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08FD477C" w14:textId="77777777" w:rsidR="003A090D" w:rsidRDefault="003A090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B05980" w14:textId="77777777" w:rsidR="00B0126B" w:rsidRDefault="00B0126B">
      <w:pPr>
        <w:spacing w:after="0" w:line="240" w:lineRule="auto"/>
      </w:pPr>
      <w:r>
        <w:separator/>
      </w:r>
    </w:p>
  </w:footnote>
  <w:footnote w:type="continuationSeparator" w:id="0">
    <w:p w14:paraId="737628FD" w14:textId="77777777" w:rsidR="00B0126B" w:rsidRDefault="00B012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676C62"/>
    <w:multiLevelType w:val="multilevel"/>
    <w:tmpl w:val="511051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5322A84"/>
    <w:multiLevelType w:val="multilevel"/>
    <w:tmpl w:val="911092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76281827">
    <w:abstractNumId w:val="0"/>
  </w:num>
  <w:num w:numId="2" w16cid:durableId="3744332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90D"/>
    <w:rsid w:val="003A090D"/>
    <w:rsid w:val="004409D6"/>
    <w:rsid w:val="00A04CAA"/>
    <w:rsid w:val="00B0126B"/>
    <w:rsid w:val="00FD5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8FA99"/>
  <w15:docId w15:val="{35ADABF3-E88E-4F55-A96C-3CF9D4B79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60458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basedOn w:val="Normalny"/>
    <w:uiPriority w:val="34"/>
    <w:qFormat/>
    <w:rsid w:val="00760458"/>
    <w:pPr>
      <w:ind w:left="720"/>
      <w:contextualSpacing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PjC1xmXorCU6DbLcllVIi1JGwA==">CgMxLjAyCGguZ2pkZ3hzOAByITF4VDhoRjdRXzNPTVFpUFEyUkFxREo4S2t0aVFORm5oWQ==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1299</Words>
  <Characters>7800</Characters>
  <Application>Microsoft Office Word</Application>
  <DocSecurity>0</DocSecurity>
  <Lines>65</Lines>
  <Paragraphs>18</Paragraphs>
  <ScaleCrop>false</ScaleCrop>
  <Company/>
  <LinksUpToDate>false</LinksUpToDate>
  <CharactersWithSpaces>9081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Technolog</dc:creator>
  <cp:lastModifiedBy>Anna Jamroz-Wisniewska</cp:lastModifiedBy>
  <cp:revision>2</cp:revision>
  <dcterms:created xsi:type="dcterms:W3CDTF">2024-09-08T10:55:00Z</dcterms:created>
  <dcterms:modified xsi:type="dcterms:W3CDTF">2024-09-08T10:55:00Z</dcterms:modified>
</cp:coreProperties>
</file>