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9E81" w14:textId="77777777" w:rsidR="00C4620A" w:rsidRDefault="00000000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</w:t>
      </w:r>
      <w:r>
        <w:rPr>
          <w:rFonts w:ascii="Corbel" w:eastAsia="Corbel" w:hAnsi="Corbel" w:cs="Corbel"/>
          <w:i/>
          <w:sz w:val="24"/>
        </w:rPr>
        <w:t>12/2019</w:t>
      </w:r>
    </w:p>
    <w:p w14:paraId="5036AABB" w14:textId="77777777" w:rsidR="00C4620A" w:rsidRDefault="0000000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C40A90A" w14:textId="1A5AAFFC" w:rsidR="00C4620A" w:rsidRDefault="00000000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EB1473" w:rsidRPr="00EB1473">
        <w:rPr>
          <w:rFonts w:ascii="Corbel" w:eastAsia="Corbel" w:hAnsi="Corbel" w:cs="Corbel"/>
          <w:b/>
          <w:sz w:val="24"/>
        </w:rPr>
        <w:t>2023-2026</w:t>
      </w:r>
    </w:p>
    <w:p w14:paraId="37A1CE0F" w14:textId="77777777" w:rsidR="00C4620A" w:rsidRDefault="00000000">
      <w:pPr>
        <w:spacing w:after="0" w:line="240" w:lineRule="auto"/>
        <w:ind w:left="2124" w:firstLine="708"/>
        <w:jc w:val="center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>(skrajne daty</w:t>
      </w:r>
      <w:r>
        <w:rPr>
          <w:rFonts w:ascii="Corbel" w:eastAsia="Corbel" w:hAnsi="Corbel" w:cs="Corbel"/>
          <w:sz w:val="24"/>
        </w:rPr>
        <w:t>)</w:t>
      </w:r>
    </w:p>
    <w:p w14:paraId="556ADEBA" w14:textId="3CF6F05F" w:rsidR="00C4620A" w:rsidRDefault="0000000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202</w:t>
      </w:r>
      <w:r w:rsidR="00EB1473">
        <w:rPr>
          <w:rFonts w:ascii="Corbel" w:eastAsia="Corbel" w:hAnsi="Corbel" w:cs="Corbel"/>
          <w:sz w:val="24"/>
        </w:rPr>
        <w:t>3</w:t>
      </w:r>
      <w:r>
        <w:rPr>
          <w:rFonts w:ascii="Corbel" w:eastAsia="Corbel" w:hAnsi="Corbel" w:cs="Corbel"/>
          <w:sz w:val="24"/>
        </w:rPr>
        <w:t>/202</w:t>
      </w:r>
      <w:r w:rsidR="00EB1473">
        <w:rPr>
          <w:rFonts w:ascii="Corbel" w:eastAsia="Corbel" w:hAnsi="Corbel" w:cs="Corbel"/>
          <w:sz w:val="24"/>
        </w:rPr>
        <w:t>4</w:t>
      </w:r>
    </w:p>
    <w:p w14:paraId="7FEF7822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E0A624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6374"/>
      </w:tblGrid>
      <w:tr w:rsidR="00C4620A" w14:paraId="671A123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27B3B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E839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Bezpieczeństwo państwa</w:t>
            </w:r>
          </w:p>
        </w:tc>
      </w:tr>
      <w:tr w:rsidR="00C4620A" w14:paraId="7EB950B7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8A456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55C7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BW02</w:t>
            </w:r>
          </w:p>
        </w:tc>
      </w:tr>
      <w:tr w:rsidR="00C4620A" w14:paraId="4E3CE3E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769E" w14:textId="77777777" w:rsidR="00C4620A" w:rsidRDefault="0000000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541DE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C4620A" w14:paraId="02173E1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ED687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8BDD4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</w:p>
        </w:tc>
      </w:tr>
      <w:tr w:rsidR="00C4620A" w14:paraId="61851785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6BF0B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BE10B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C4620A" w14:paraId="173C96C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42FD1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B515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C4620A" w14:paraId="28140C3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21DA7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847B7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C4620A" w14:paraId="0A6A546B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5D142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98FB1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C4620A" w14:paraId="09F24EC1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53B8E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3A704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 semestr I</w:t>
            </w:r>
          </w:p>
        </w:tc>
      </w:tr>
      <w:tr w:rsidR="00C4620A" w14:paraId="21D72964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3F85D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BCEBF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podstawowy</w:t>
            </w:r>
          </w:p>
        </w:tc>
      </w:tr>
      <w:tr w:rsidR="00C4620A" w14:paraId="388AE156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B970D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EB0A2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C4620A" w14:paraId="7F6BD6E8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379B5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0E9F3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C4620A" w14:paraId="0BB4F7C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074FF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53812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Pawlikowski, mgr Małgorzata Waksmundzka-Szarek</w:t>
            </w:r>
          </w:p>
        </w:tc>
      </w:tr>
    </w:tbl>
    <w:p w14:paraId="3892AD6A" w14:textId="77777777" w:rsidR="00C4620A" w:rsidRDefault="0000000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E139BB7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01499E04" w14:textId="77777777" w:rsidR="00C4620A" w:rsidRDefault="0000000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03FAD8A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64"/>
        <w:gridCol w:w="719"/>
        <w:gridCol w:w="851"/>
        <w:gridCol w:w="747"/>
        <w:gridCol w:w="789"/>
        <w:gridCol w:w="667"/>
        <w:gridCol w:w="901"/>
        <w:gridCol w:w="1097"/>
        <w:gridCol w:w="1272"/>
      </w:tblGrid>
      <w:tr w:rsidR="00C4620A" w14:paraId="566514D3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2F73" w14:textId="77777777" w:rsidR="00C4620A" w:rsidRDefault="00000000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0B6031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A243AE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0B4360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49990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DB11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7E607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085F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2709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33BD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C84F1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Liczba pkt ECTS</w:t>
            </w:r>
          </w:p>
        </w:tc>
      </w:tr>
      <w:tr w:rsidR="00C4620A" w14:paraId="46EA94FE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CC57B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0EFEC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5134D6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4B236" w14:textId="7D8B4506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58B80" w14:textId="62E3E6AC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564B8" w14:textId="5C15391D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5E208" w14:textId="353CE534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CF1B3" w14:textId="7C31C34B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11A9F" w14:textId="1C1E186C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72F9F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062B0E3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5528BB6C" w14:textId="77777777" w:rsidR="00C4620A" w:rsidRDefault="0000000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16AAF89A" w14:textId="12921162" w:rsidR="00C4620A" w:rsidRDefault="00D90C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 xml:space="preserve">X </w:t>
      </w:r>
      <w:r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380FE1AB" w14:textId="77777777" w:rsidR="00C4620A" w:rsidRDefault="0000000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14:paraId="5451400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C121D64" w14:textId="77777777" w:rsidR="00C4620A" w:rsidRDefault="0000000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>Forma zaliczenia przedmiotu (z toku) (egzamin, zaliczenie z oceną</w:t>
      </w:r>
      <w:r>
        <w:rPr>
          <w:rFonts w:ascii="Corbel" w:eastAsia="Corbel" w:hAnsi="Corbel" w:cs="Corbel"/>
          <w:b/>
          <w:sz w:val="24"/>
          <w:u w:val="single"/>
        </w:rPr>
        <w:t>,</w:t>
      </w:r>
      <w:r>
        <w:rPr>
          <w:rFonts w:ascii="Corbel" w:eastAsia="Corbel" w:hAnsi="Corbel" w:cs="Corbel"/>
          <w:b/>
          <w:sz w:val="24"/>
        </w:rPr>
        <w:t xml:space="preserve"> zaliczenie bez oceny)</w:t>
      </w:r>
    </w:p>
    <w:p w14:paraId="6DFE5ECA" w14:textId="77777777" w:rsidR="00C4620A" w:rsidRDefault="00C4620A">
      <w:pPr>
        <w:spacing w:after="0" w:line="240" w:lineRule="auto"/>
        <w:ind w:left="9765"/>
        <w:rPr>
          <w:rFonts w:ascii="Corbel" w:eastAsia="Corbel" w:hAnsi="Corbel" w:cs="Corbel"/>
          <w:sz w:val="24"/>
        </w:rPr>
      </w:pPr>
    </w:p>
    <w:p w14:paraId="528766F0" w14:textId="77777777" w:rsidR="00C4620A" w:rsidRDefault="00000000">
      <w:pPr>
        <w:tabs>
          <w:tab w:val="left" w:pos="720"/>
        </w:tabs>
        <w:spacing w:after="200" w:line="276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Wykład - egzamin.</w:t>
      </w:r>
    </w:p>
    <w:p w14:paraId="2F84F342" w14:textId="77777777" w:rsidR="00C4620A" w:rsidRDefault="0000000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pacing w:val="-6"/>
          <w:sz w:val="24"/>
        </w:rPr>
        <w:t>Ćwiczenia - zaliczenie z oceną.</w:t>
      </w:r>
    </w:p>
    <w:p w14:paraId="1A74FE4D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54C82DA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3344A57C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8C4233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D5A0A" w14:textId="77777777" w:rsidR="00C4620A" w:rsidRDefault="00000000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pacing w:val="-6"/>
                <w:sz w:val="24"/>
              </w:rPr>
              <w:t>Znajomość podstawowych zagadnień z teorii bezpieczeństwa.</w:t>
            </w:r>
          </w:p>
        </w:tc>
      </w:tr>
    </w:tbl>
    <w:p w14:paraId="078829A3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B20339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1324D3F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kształcenia , treści Programowe i stosowane metody Dydaktyczne</w:t>
      </w:r>
    </w:p>
    <w:p w14:paraId="01CA0B75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26495E" w14:textId="77777777" w:rsidR="00C4620A" w:rsidRDefault="0000000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8301"/>
      </w:tblGrid>
      <w:tr w:rsidR="00C4620A" w14:paraId="65E5174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97386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31BB23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wiedzy na temat istoty, sektorów i dziedzin bezpieczeństwa państwa.</w:t>
            </w:r>
          </w:p>
        </w:tc>
      </w:tr>
      <w:tr w:rsidR="00C4620A" w14:paraId="58311BF4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491A" w14:textId="77777777" w:rsidR="00C4620A" w:rsidRDefault="00000000">
            <w:pPr>
              <w:tabs>
                <w:tab w:val="left" w:pos="720"/>
              </w:tabs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02E68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umiejętności klasyfikacji bezpieczeństwa i zagrożeń.</w:t>
            </w:r>
          </w:p>
        </w:tc>
      </w:tr>
      <w:tr w:rsidR="00C4620A" w14:paraId="411FC58D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A471D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71DD1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Kształtowanie umiejętności analizy środowiska bezpieczeństwa.</w:t>
            </w:r>
          </w:p>
        </w:tc>
      </w:tr>
    </w:tbl>
    <w:p w14:paraId="7AEA77FA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009B626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5F9D7AE3" w14:textId="77777777" w:rsidR="00C4620A" w:rsidRDefault="00C4620A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7804150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4E5674A6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4620A" w14:paraId="383349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5F54B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3B26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A1923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4620A" w14:paraId="6966396A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942AB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F5F2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podstawową terminologię związaną z bezpieczeństwem państwa (bezpieczeństwo, państwo, interesy, szanse,  wyzwania, ryzyka, wyzwania, zagrożenia, środowisko bezpieczeństwa), wybrane klasyfikacje bezpieczeństwa (zewnętrzne, wewnętrzne, militarne, niemilitarne, publiczne, społeczne, ekonomiczne, polityczne, energetyczne, demograficzne, kulturowe), dziedziny i sektory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159FD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K_W01</w:t>
            </w:r>
          </w:p>
        </w:tc>
      </w:tr>
      <w:tr w:rsidR="00C4620A" w14:paraId="0292905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5970A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7013F3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zna główne organy państwa odpowiedzialne za bezpieczeństwo (głowa państwa, rząd, parlament, ministerstwo spraw zagranicznych, ministerstwo </w:t>
            </w:r>
            <w:r>
              <w:rPr>
                <w:rFonts w:ascii="Corbel" w:eastAsia="Corbel" w:hAnsi="Corbel" w:cs="Corbel"/>
                <w:sz w:val="24"/>
              </w:rPr>
              <w:lastRenderedPageBreak/>
              <w:t>spraw wewnętrznych, ministerstwo obrony narodowej) oraz mechanizmy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A4FC2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 K_W02</w:t>
            </w:r>
          </w:p>
        </w:tc>
      </w:tr>
      <w:tr w:rsidR="00C4620A" w14:paraId="388C2D53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7D1F6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FEB657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gromadzi, hierarchizuje, przetwarza i prezentuje informacje na temat bieżących uwarunkowań bezpieczeństwa państwa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60EA1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C4620A" w14:paraId="45836339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3A649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AFF364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skutecznie ją wykorzystuje w celu rozwiązania problemów z zakresu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13FA5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C4620A" w14:paraId="00772CAD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26A15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2C827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definiuje priorytety polityki bezpieczeństwa państwa poprzez analizę wybranych dokumentów strategicznych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50895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76F99594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5FEC397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465626D" w14:textId="77777777" w:rsidR="00C4620A" w:rsidRDefault="00000000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14:paraId="407D9B0E" w14:textId="77777777" w:rsidR="00C4620A" w:rsidRDefault="00000000">
      <w:pPr>
        <w:spacing w:after="200" w:line="276" w:lineRule="auto"/>
        <w:ind w:left="862" w:hanging="72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WYKŁADU: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4"/>
      </w:tblGrid>
      <w:tr w:rsidR="00C4620A" w14:paraId="2C9D5B7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24F6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C4620A" w14:paraId="3C99EA9B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BBD47" w14:textId="77777777" w:rsidR="00C4620A" w:rsidRDefault="0000000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- ewolucja pojęcia.</w:t>
            </w:r>
          </w:p>
          <w:p w14:paraId="422911B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Istota pojęcia, podstawowe kategorie pojęciowe.</w:t>
            </w:r>
          </w:p>
        </w:tc>
      </w:tr>
      <w:tr w:rsidR="00C4620A" w14:paraId="1E842432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A1492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Paradygmaty i klasyfikacje bezpieczeństwa.</w:t>
            </w:r>
          </w:p>
        </w:tc>
      </w:tr>
      <w:tr w:rsidR="00C4620A" w14:paraId="527FA5F4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D4F15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typy zagrożeń.</w:t>
            </w:r>
          </w:p>
        </w:tc>
      </w:tr>
      <w:tr w:rsidR="00C4620A" w14:paraId="72733159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E6CD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Sektory i dziedziny bezpieczeństwa.</w:t>
            </w:r>
          </w:p>
        </w:tc>
      </w:tr>
      <w:tr w:rsidR="00C4620A" w14:paraId="5376CC1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92615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 i zewnętrzne.</w:t>
            </w:r>
          </w:p>
        </w:tc>
      </w:tr>
      <w:tr w:rsidR="00C4620A" w14:paraId="7762060F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8899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Strategie bezpieczeństwa.</w:t>
            </w:r>
          </w:p>
        </w:tc>
      </w:tr>
    </w:tbl>
    <w:p w14:paraId="068F5B4C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44AE312D" w14:textId="77777777" w:rsidR="00C4620A" w:rsidRDefault="00000000">
      <w:pPr>
        <w:spacing w:after="12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ĆWICZEŃ:</w:t>
      </w: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7"/>
      </w:tblGrid>
      <w:tr w:rsidR="00C4620A" w14:paraId="6DCDE9F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1588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C4620A" w14:paraId="7690C34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5880B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Zajęcia organizacyjne.</w:t>
            </w:r>
          </w:p>
        </w:tc>
      </w:tr>
      <w:tr w:rsidR="00C4620A" w14:paraId="5933B76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0D87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państwa.</w:t>
            </w:r>
          </w:p>
        </w:tc>
      </w:tr>
      <w:tr w:rsidR="00C4620A" w14:paraId="699AF61E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FCF93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Tradycyjne i asymetryczne zagrożenia bezpieczeństwa państwa.</w:t>
            </w:r>
          </w:p>
        </w:tc>
      </w:tr>
      <w:tr w:rsidR="00C4620A" w14:paraId="6438EF81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0D42E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>Bezpieczeństwo militarne państwa.</w:t>
            </w:r>
          </w:p>
        </w:tc>
      </w:tr>
      <w:tr w:rsidR="00C4620A" w14:paraId="4B4574D9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91F5F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Sojusze i bloki polityczno-militarne.</w:t>
            </w:r>
          </w:p>
        </w:tc>
      </w:tr>
      <w:tr w:rsidR="00C4620A" w14:paraId="255CB428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940E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polityczne.</w:t>
            </w:r>
          </w:p>
        </w:tc>
      </w:tr>
      <w:tr w:rsidR="00C4620A" w14:paraId="4A52D800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188D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Istota bezpieczeństwa ekonomicznego i energetycznego.</w:t>
            </w:r>
          </w:p>
        </w:tc>
      </w:tr>
      <w:tr w:rsidR="00C4620A" w14:paraId="057FE08A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55EBA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społeczne, demograficzne i kulturowe.</w:t>
            </w:r>
          </w:p>
        </w:tc>
      </w:tr>
      <w:tr w:rsidR="00C4620A" w14:paraId="41A2AFAD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5AEE1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Strategie bezpieczeństwa państwa.</w:t>
            </w:r>
          </w:p>
        </w:tc>
      </w:tr>
      <w:tr w:rsidR="00C4620A" w14:paraId="6DA990F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53B2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Kolokwium zaliczeniowe.</w:t>
            </w:r>
          </w:p>
        </w:tc>
      </w:tr>
    </w:tbl>
    <w:p w14:paraId="1D2AD0D0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0E996BE5" w14:textId="77777777" w:rsidR="00C4620A" w:rsidRDefault="00000000">
      <w:pPr>
        <w:spacing w:after="0" w:line="36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3.4  Metody dydaktyczne </w:t>
      </w:r>
    </w:p>
    <w:p w14:paraId="2ECCE9BD" w14:textId="77777777" w:rsidR="00C4620A" w:rsidRDefault="00000000">
      <w:pPr>
        <w:spacing w:after="0" w:line="36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wykład z prezentacją multimedialną, analiza tekstów z dyskusją, dyskusja.</w:t>
      </w:r>
    </w:p>
    <w:p w14:paraId="062FBE52" w14:textId="77777777" w:rsidR="00C4620A" w:rsidRDefault="00C4620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0A50E47" w14:textId="77777777" w:rsidR="00C4620A" w:rsidRDefault="0000000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721A65E" w14:textId="77777777" w:rsidR="00C4620A" w:rsidRDefault="00C4620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F81F45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9D4599B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4598"/>
        <w:gridCol w:w="2156"/>
      </w:tblGrid>
      <w:tr w:rsidR="00C4620A" w14:paraId="45D363C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E6A59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66C2A668" w14:textId="77777777" w:rsidR="00C4620A" w:rsidRDefault="00C4620A">
            <w:pPr>
              <w:spacing w:after="200" w:line="276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6C7F6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6BE1FC9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3E6A0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</w:tc>
      </w:tr>
      <w:tr w:rsidR="00C4620A" w14:paraId="2FC5DB35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70F4C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C02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3A24A" w14:textId="77777777" w:rsidR="00C4620A" w:rsidRDefault="00000000">
            <w:pPr>
              <w:spacing w:after="200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7684A41D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75080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82CF3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10FB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6034140A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8E372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A7071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88BB2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AD339E1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19E85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B3AD1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C5058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456BBA0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03486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BAC9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98B6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</w:tbl>
    <w:p w14:paraId="2E68B999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A4FF92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0EED477A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FDBD915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7EBA4A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3C93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Zaliczenie testu na ocenę pozytywną (ponad 50 % poprawnych odpowiedzi), aktywność na zajęciach.</w:t>
            </w:r>
          </w:p>
        </w:tc>
      </w:tr>
    </w:tbl>
    <w:p w14:paraId="1618EB7F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50F2387" w14:textId="77777777" w:rsidR="00C4620A" w:rsidRDefault="0000000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40D2DB51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339"/>
      </w:tblGrid>
      <w:tr w:rsidR="00C4620A" w14:paraId="144250D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49421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3B0CC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Średnia liczba godzin na zrealizowanie aktywności</w:t>
            </w:r>
          </w:p>
        </w:tc>
      </w:tr>
      <w:tr w:rsidR="00C4620A" w14:paraId="58798156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4DE17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8EDD9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45</w:t>
            </w:r>
          </w:p>
        </w:tc>
      </w:tr>
      <w:tr w:rsidR="00C4620A" w14:paraId="7D31BCB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3A279" w14:textId="77777777" w:rsidR="00C4620A" w:rsidRDefault="0000000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</w:t>
            </w:r>
          </w:p>
          <w:p w14:paraId="315CDAD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35C1E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C4620A" w14:paraId="334D3D4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1C62B" w14:textId="77777777" w:rsidR="00C4620A" w:rsidRDefault="0000000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42BC4C0B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E158A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C4620A" w14:paraId="0DB577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4A715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AA5BF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C4620A" w14:paraId="5FFAC2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2EDFC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0932C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2016EFE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7C0BE43B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F3FA317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7760ACB4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4620A" w14:paraId="1D33B5A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CE5F43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9808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C4620A" w14:paraId="69C167F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D5509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41408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3BBE98F8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9FF2FF2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DDF2630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4620A" w14:paraId="43F14A1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8E006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4946FEE6" w14:textId="77777777" w:rsidR="00C4620A" w:rsidRDefault="0000000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Koziej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Bezpieczeństwo: istota, podstawowe kategorie i historyczna ewolucja,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“Bezpieczeństwo narodowe” 2011, nr 2 (18). </w:t>
            </w:r>
          </w:p>
          <w:p w14:paraId="43ADAAA6" w14:textId="77777777" w:rsidR="00C4620A" w:rsidRDefault="0000000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Gryz 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Zarys teorii bezpieczeństwa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2016. </w:t>
            </w:r>
          </w:p>
          <w:p w14:paraId="78788E20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Urbanek A.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Wybrane problemy bezpieczeństwa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Słupsk 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C4620A" w14:paraId="0CAF694A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39CD6" w14:textId="77777777" w:rsidR="00C4620A" w:rsidRDefault="00000000">
            <w:pPr>
              <w:spacing w:after="200" w:line="36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779480BA" w14:textId="77777777" w:rsidR="00C4620A" w:rsidRDefault="00000000">
            <w:pPr>
              <w:spacing w:after="200" w:line="36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Skarzyński R., Kużelewska E.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Bezpieczeństwo. Dyscyplina nauki wobec funkcjonowania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Białystok 2018. </w:t>
            </w:r>
          </w:p>
          <w:p w14:paraId="171B483F" w14:textId="77777777" w:rsidR="00C4620A" w:rsidRDefault="00000000">
            <w:pPr>
              <w:spacing w:after="200" w:line="36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 xml:space="preserve">Ściborek Z., Wiśniewski B., Kuc R. B., Dawidczyk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wewnętrzne. Podręcznik akademicki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Toruń 2015.</w:t>
            </w:r>
          </w:p>
        </w:tc>
      </w:tr>
    </w:tbl>
    <w:p w14:paraId="4066EB8A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766D4B0" w14:textId="77777777" w:rsidR="00C4620A" w:rsidRDefault="0000000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EFA4FAF" w14:textId="77777777" w:rsidR="00C4620A" w:rsidRDefault="00C4620A">
      <w:pPr>
        <w:spacing w:after="200" w:line="276" w:lineRule="auto"/>
        <w:rPr>
          <w:rFonts w:ascii="Calibri" w:eastAsia="Calibri" w:hAnsi="Calibri" w:cs="Calibri"/>
        </w:rPr>
      </w:pPr>
    </w:p>
    <w:sectPr w:rsidR="00C46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0A"/>
    <w:rsid w:val="00A84685"/>
    <w:rsid w:val="00C4620A"/>
    <w:rsid w:val="00D90C45"/>
    <w:rsid w:val="00EB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D4FE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821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dcterms:created xsi:type="dcterms:W3CDTF">2022-10-28T04:13:00Z</dcterms:created>
  <dcterms:modified xsi:type="dcterms:W3CDTF">2024-01-15T22:15:00Z</dcterms:modified>
</cp:coreProperties>
</file>