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Corbel" w:hAnsi="Corbel"/>
          <w:bCs/>
          <w:i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Cs/>
          <w:i/>
        </w:rPr>
        <w:t>Załącznik nr 1.5 do Zarządzenia Rektora UR  nr 7/2023</w:t>
      </w:r>
    </w:p>
    <w:p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SYLABUS</w:t>
      </w:r>
    </w:p>
    <w:p>
      <w:pPr>
        <w:spacing w:after="0" w:line="240" w:lineRule="exact"/>
        <w:jc w:val="center"/>
        <w:rPr>
          <w:rFonts w:hint="default" w:ascii="Corbel" w:hAnsi="Corbel"/>
          <w:b/>
          <w:smallCaps/>
          <w:sz w:val="24"/>
          <w:szCs w:val="24"/>
          <w:lang w:val="pl-PL"/>
        </w:rPr>
      </w:pPr>
      <w:r>
        <w:rPr>
          <w:rFonts w:ascii="Corbel" w:hAnsi="Corbel"/>
          <w:b/>
          <w:smallCaps/>
          <w:sz w:val="24"/>
          <w:szCs w:val="24"/>
        </w:rPr>
        <w:t xml:space="preserve">dotyczy cyklu kształcenia </w:t>
      </w:r>
      <w:r>
        <w:rPr>
          <w:rFonts w:hint="default" w:ascii="Corbel" w:hAnsi="Corbel"/>
          <w:b/>
          <w:smallCaps/>
          <w:sz w:val="24"/>
          <w:szCs w:val="24"/>
          <w:lang w:val="pl-PL"/>
        </w:rPr>
        <w:t>2023/24-2024/25</w:t>
      </w:r>
    </w:p>
    <w:p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Corbel" w:hAnsi="Corbel"/>
          <w:i/>
          <w:sz w:val="20"/>
          <w:szCs w:val="20"/>
        </w:rPr>
        <w:t>(skrajne daty</w:t>
      </w:r>
      <w:r>
        <w:rPr>
          <w:rFonts w:ascii="Corbel" w:hAnsi="Corbel"/>
          <w:sz w:val="20"/>
          <w:szCs w:val="20"/>
        </w:rPr>
        <w:t>)</w:t>
      </w:r>
    </w:p>
    <w:p>
      <w:pPr>
        <w:spacing w:after="0" w:line="240" w:lineRule="exact"/>
        <w:jc w:val="both"/>
        <w:rPr>
          <w:rFonts w:hint="default" w:ascii="Corbel" w:hAnsi="Corbel"/>
          <w:sz w:val="20"/>
          <w:szCs w:val="20"/>
          <w:lang w:val="pl-PL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>Rok akademicki   .</w:t>
      </w:r>
      <w:r>
        <w:rPr>
          <w:rFonts w:hint="default" w:ascii="Corbel" w:hAnsi="Corbel"/>
          <w:sz w:val="20"/>
          <w:szCs w:val="20"/>
          <w:lang w:val="pl-PL"/>
        </w:rPr>
        <w:t>2023/24</w:t>
      </w:r>
    </w:p>
    <w:p>
      <w:pPr>
        <w:spacing w:after="0" w:line="240" w:lineRule="auto"/>
        <w:rPr>
          <w:rFonts w:ascii="Corbel" w:hAnsi="Corbel"/>
          <w:sz w:val="24"/>
          <w:szCs w:val="24"/>
        </w:rPr>
      </w:pPr>
    </w:p>
    <w:p>
      <w:pPr>
        <w:pStyle w:val="21"/>
        <w:spacing w:before="0" w:after="0"/>
        <w:rPr>
          <w:rFonts w:ascii="Corbel" w:hAnsi="Corbel"/>
          <w:color w:val="0070C0"/>
          <w:szCs w:val="24"/>
        </w:rPr>
      </w:pPr>
      <w:r>
        <w:rPr>
          <w:rFonts w:ascii="Corbel" w:hAnsi="Corbel"/>
          <w:szCs w:val="24"/>
        </w:rPr>
        <w:t>1. Podstawowe informacje o przedmiocie</w:t>
      </w:r>
    </w:p>
    <w:tbl>
      <w:tblPr>
        <w:tblStyle w:val="3"/>
        <w:tblW w:w="9781" w:type="dxa"/>
        <w:tblInd w:w="-3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7088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Język niemiecki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Kolegium Nauk Społecznych</w:t>
            </w:r>
          </w:p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Instytut Ekonomii i Finansów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Studium Języków Obcych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Finanse i Rachunkowość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Studia drugiego stopnia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Ogólnouczelniany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I/1,2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Ogólny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niemiecki/polski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spacing w:beforeAutospacing="1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Barbara Skoczyńska-Prokopowicz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2"/>
              <w:spacing w:beforeAutospacing="1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3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dr Barbara Skoczyńska-Prokopowicz</w:t>
            </w:r>
          </w:p>
        </w:tc>
      </w:tr>
    </w:tbl>
    <w:p>
      <w:pPr>
        <w:pStyle w:val="24"/>
        <w:spacing w:beforeAutospacing="1" w:afterAutospacing="1"/>
        <w:ind w:left="0"/>
        <w:rPr>
          <w:rFonts w:ascii="Corbel" w:hAnsi="Corbel"/>
          <w:b w:val="0"/>
          <w:i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* </w:t>
      </w:r>
      <w:r>
        <w:rPr>
          <w:rFonts w:ascii="Corbel" w:hAnsi="Corbel"/>
          <w:i/>
          <w:sz w:val="24"/>
          <w:szCs w:val="24"/>
        </w:rPr>
        <w:t>-</w:t>
      </w:r>
      <w:r>
        <w:rPr>
          <w:rFonts w:ascii="Corbel" w:hAnsi="Corbel"/>
          <w:b w:val="0"/>
          <w:i/>
          <w:sz w:val="24"/>
          <w:szCs w:val="24"/>
        </w:rPr>
        <w:t>opcjonalni</w:t>
      </w:r>
      <w:r>
        <w:rPr>
          <w:rFonts w:ascii="Corbel" w:hAnsi="Corbel"/>
          <w:b w:val="0"/>
          <w:sz w:val="24"/>
          <w:szCs w:val="24"/>
        </w:rPr>
        <w:t>e,</w:t>
      </w:r>
      <w:r>
        <w:rPr>
          <w:rFonts w:ascii="Corbel" w:hAnsi="Corbel"/>
          <w:i/>
          <w:sz w:val="24"/>
          <w:szCs w:val="24"/>
        </w:rPr>
        <w:t xml:space="preserve"> </w:t>
      </w:r>
      <w:r>
        <w:rPr>
          <w:rFonts w:ascii="Corbel" w:hAnsi="Corbel"/>
          <w:b w:val="0"/>
          <w:i/>
          <w:sz w:val="24"/>
          <w:szCs w:val="24"/>
        </w:rPr>
        <w:t>zgodnie z ustaleniami w Jednostce</w:t>
      </w:r>
    </w:p>
    <w:p>
      <w:pPr>
        <w:pStyle w:val="24"/>
        <w:ind w:left="0"/>
        <w:rPr>
          <w:rFonts w:ascii="Corbel" w:hAnsi="Corbel"/>
          <w:sz w:val="24"/>
          <w:szCs w:val="24"/>
        </w:rPr>
      </w:pPr>
    </w:p>
    <w:p>
      <w:pPr>
        <w:pStyle w:val="24"/>
        <w:ind w:left="28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1.1.Formy zajęć dydaktycznych, wymiar godzin i punktów ECTS </w:t>
      </w:r>
    </w:p>
    <w:p>
      <w:pPr>
        <w:pStyle w:val="24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tbl>
      <w:tblPr>
        <w:tblStyle w:val="3"/>
        <w:tblW w:w="9903" w:type="dxa"/>
        <w:tblInd w:w="-14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26"/>
        <w:gridCol w:w="792"/>
        <w:gridCol w:w="859"/>
        <w:gridCol w:w="808"/>
        <w:gridCol w:w="825"/>
        <w:gridCol w:w="792"/>
        <w:gridCol w:w="943"/>
        <w:gridCol w:w="1213"/>
        <w:gridCol w:w="1549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Semestr</w:t>
            </w:r>
          </w:p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(nr)</w:t>
            </w:r>
          </w:p>
        </w:tc>
        <w:tc>
          <w:tcPr>
            <w:tcW w:w="9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Wykł.</w:t>
            </w:r>
          </w:p>
        </w:tc>
        <w:tc>
          <w:tcPr>
            <w:tcW w:w="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Ćw.</w:t>
            </w:r>
          </w:p>
        </w:tc>
        <w:tc>
          <w:tcPr>
            <w:tcW w:w="8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Konw.</w:t>
            </w:r>
          </w:p>
        </w:tc>
        <w:tc>
          <w:tcPr>
            <w:tcW w:w="8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Lab.</w:t>
            </w:r>
          </w:p>
        </w:tc>
        <w:tc>
          <w:tcPr>
            <w:tcW w:w="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Sem.</w:t>
            </w:r>
          </w:p>
        </w:tc>
        <w:tc>
          <w:tcPr>
            <w:tcW w:w="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ZP</w:t>
            </w:r>
          </w:p>
        </w:tc>
        <w:tc>
          <w:tcPr>
            <w:tcW w:w="9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Prakt.</w:t>
            </w:r>
          </w:p>
        </w:tc>
        <w:tc>
          <w:tcPr>
            <w:tcW w:w="1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Inne (jakie?)</w:t>
            </w:r>
          </w:p>
        </w:tc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Liczba pkt ECTS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6"/>
              <w:spacing w:line="240" w:lineRule="auto"/>
              <w:jc w:val="center"/>
              <w:rPr>
                <w:rFonts w:hint="default" w:ascii="Corbel" w:hAnsi="Corbel"/>
                <w:sz w:val="24"/>
                <w:szCs w:val="24"/>
                <w:lang w:val="pl-PL"/>
              </w:rPr>
            </w:pPr>
            <w:r>
              <w:rPr>
                <w:rFonts w:hint="default" w:ascii="Corbel" w:hAnsi="Corbel"/>
                <w:sz w:val="24"/>
                <w:szCs w:val="24"/>
                <w:lang w:val="pl-PL"/>
              </w:rPr>
              <w:t>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hint="default" w:ascii="Corbel" w:hAnsi="Corbel"/>
                <w:sz w:val="24"/>
                <w:szCs w:val="24"/>
                <w:lang w:val="pl-PL"/>
              </w:rPr>
            </w:pPr>
            <w:r>
              <w:rPr>
                <w:rFonts w:hint="default" w:ascii="Corbel" w:hAnsi="Corbel"/>
                <w:sz w:val="24"/>
                <w:szCs w:val="24"/>
                <w:lang w:val="pl-PL"/>
              </w:rPr>
              <w:t>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  <w:highlight w:val="yellow"/>
              </w:rPr>
            </w:pPr>
            <w:r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9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  <w:highlight w:val="yellow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8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8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8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9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1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7"/>
              <w:spacing w:before="0" w:after="0"/>
              <w:rPr>
                <w:rFonts w:hint="default" w:ascii="Corbel" w:hAnsi="Corbel"/>
                <w:sz w:val="24"/>
                <w:szCs w:val="24"/>
                <w:highlight w:val="yellow"/>
                <w:lang w:val="pl-PL"/>
              </w:rPr>
            </w:pPr>
            <w:r>
              <w:rPr>
                <w:rFonts w:hint="default" w:ascii="Corbel" w:hAnsi="Corbel"/>
                <w:sz w:val="24"/>
                <w:szCs w:val="24"/>
                <w:highlight w:val="none"/>
                <w:lang w:val="pl-PL"/>
              </w:rPr>
              <w:t>4</w:t>
            </w:r>
          </w:p>
        </w:tc>
      </w:tr>
    </w:tbl>
    <w:p>
      <w:pPr>
        <w:pStyle w:val="24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>
      <w:pPr>
        <w:pStyle w:val="24"/>
        <w:rPr>
          <w:rFonts w:ascii="Corbel" w:hAnsi="Corbel"/>
          <w:b w:val="0"/>
          <w:sz w:val="24"/>
          <w:szCs w:val="24"/>
          <w:lang w:eastAsia="en-US"/>
        </w:rPr>
      </w:pPr>
    </w:p>
    <w:p>
      <w:pPr>
        <w:pStyle w:val="21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>1.2.</w:t>
      </w:r>
      <w:r>
        <w:rPr>
          <w:rFonts w:ascii="Corbel" w:hAnsi="Corbel"/>
          <w:smallCaps w:val="0"/>
          <w:szCs w:val="24"/>
        </w:rPr>
        <w:tab/>
      </w:r>
      <w:r>
        <w:rPr>
          <w:rFonts w:ascii="Corbel" w:hAnsi="Corbel"/>
          <w:smallCaps w:val="0"/>
          <w:szCs w:val="24"/>
        </w:rPr>
        <w:t xml:space="preserve">Sposób realizacji zajęć  </w:t>
      </w:r>
    </w:p>
    <w:p>
      <w:pPr>
        <w:pStyle w:val="21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>
        <w:rPr>
          <w:rFonts w:hint="default" w:ascii="Segoe UI Symbol" w:hAnsi="Segoe UI Symbol" w:eastAsia="MS Gothic" w:cs="Segoe UI Symbol"/>
          <w:b w:val="0"/>
          <w:szCs w:val="24"/>
          <w:lang w:val="pl-PL"/>
        </w:rPr>
        <w:t>x</w:t>
      </w:r>
      <w:r>
        <w:rPr>
          <w:rFonts w:ascii="Segoe UI Symbol" w:hAnsi="Segoe UI Symbol" w:eastAsia="MS Gothic" w:cs="Segoe UI Symbol"/>
          <w:b w:val="0"/>
          <w:szCs w:val="24"/>
        </w:rPr>
        <w:t>☐</w:t>
      </w:r>
      <w:r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>
      <w:pPr>
        <w:pStyle w:val="21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>
        <w:rPr>
          <w:rFonts w:hint="default" w:ascii="Segoe UI Symbol" w:hAnsi="Segoe UI Symbol" w:eastAsia="MS Gothic" w:cs="Segoe UI Symbol"/>
          <w:b w:val="0"/>
          <w:szCs w:val="24"/>
          <w:lang w:val="pl-PL"/>
        </w:rPr>
        <w:t>x</w:t>
      </w:r>
      <w:r>
        <w:rPr>
          <w:rFonts w:ascii="Segoe UI Symbol" w:hAnsi="Segoe UI Symbol" w:eastAsia="MS Gothic" w:cs="Segoe UI Symbol"/>
          <w:b w:val="0"/>
          <w:szCs w:val="24"/>
        </w:rPr>
        <w:t>☐</w:t>
      </w:r>
      <w:r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>
      <w:pPr>
        <w:pStyle w:val="21"/>
        <w:spacing w:before="0" w:after="0"/>
        <w:rPr>
          <w:rFonts w:ascii="Corbel" w:hAnsi="Corbel"/>
          <w:smallCaps w:val="0"/>
          <w:szCs w:val="24"/>
        </w:rPr>
      </w:pPr>
    </w:p>
    <w:p>
      <w:pPr>
        <w:pStyle w:val="21"/>
        <w:tabs>
          <w:tab w:val="left" w:pos="709"/>
        </w:tabs>
        <w:spacing w:before="0" w:after="0"/>
        <w:ind w:left="709" w:hanging="425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 xml:space="preserve">1.3 </w:t>
      </w:r>
      <w:r>
        <w:rPr>
          <w:rFonts w:ascii="Corbel" w:hAnsi="Corbel"/>
          <w:smallCaps w:val="0"/>
          <w:szCs w:val="24"/>
        </w:rPr>
        <w:tab/>
      </w:r>
      <w:r>
        <w:rPr>
          <w:rFonts w:ascii="Corbel" w:hAnsi="Corbel"/>
          <w:smallCaps w:val="0"/>
          <w:szCs w:val="24"/>
        </w:rPr>
        <w:t xml:space="preserve">Forma zaliczenia przedmiotu (z toku) </w:t>
      </w:r>
      <w:r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>
      <w:pPr>
        <w:pStyle w:val="21"/>
        <w:tabs>
          <w:tab w:val="left" w:pos="709"/>
        </w:tabs>
        <w:spacing w:before="0" w:after="0"/>
        <w:ind w:left="709" w:hanging="425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>zaliczenie z oceną</w:t>
      </w:r>
    </w:p>
    <w:p>
      <w:pPr>
        <w:pStyle w:val="21"/>
        <w:spacing w:before="0" w:after="0"/>
        <w:rPr>
          <w:rFonts w:ascii="Corbel" w:hAnsi="Corbel"/>
          <w:b w:val="0"/>
          <w:szCs w:val="24"/>
        </w:rPr>
      </w:pPr>
    </w:p>
    <w:p>
      <w:pPr>
        <w:pStyle w:val="21"/>
        <w:spacing w:before="0" w:after="0"/>
        <w:rPr>
          <w:rFonts w:ascii="Corbel" w:hAnsi="Corbel"/>
          <w:b w:val="0"/>
          <w:szCs w:val="24"/>
        </w:rPr>
      </w:pPr>
    </w:p>
    <w:p>
      <w:pPr>
        <w:pStyle w:val="21"/>
        <w:numPr>
          <w:ilvl w:val="0"/>
          <w:numId w:val="1"/>
        </w:numPr>
        <w:spacing w:before="0" w:after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Wymagania wstępne </w:t>
      </w:r>
    </w:p>
    <w:p>
      <w:pPr>
        <w:pStyle w:val="21"/>
        <w:numPr>
          <w:ilvl w:val="0"/>
          <w:numId w:val="0"/>
        </w:numPr>
        <w:spacing w:before="0" w:after="0"/>
        <w:rPr>
          <w:rFonts w:ascii="Corbel" w:hAnsi="Corbel"/>
          <w:szCs w:val="24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0" w:type="dxa"/>
          </w:tcPr>
          <w:p>
            <w:pPr>
              <w:pStyle w:val="21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4"/>
                <w:szCs w:val="24"/>
              </w:rPr>
              <w:t>Znajomość języka niemieckiego na poziomie</w:t>
            </w:r>
            <w:r>
              <w:rPr>
                <w:rFonts w:hint="default" w:ascii="Corbel" w:hAnsi="Corbel"/>
                <w:b w:val="0"/>
                <w:smallCaps w:val="0"/>
                <w:color w:val="000000"/>
                <w:sz w:val="24"/>
                <w:szCs w:val="24"/>
                <w:lang w:val="pl-PL"/>
              </w:rPr>
              <w:t xml:space="preserve"> B1/</w:t>
            </w:r>
            <w:r>
              <w:rPr>
                <w:rFonts w:ascii="Corbel" w:hAnsi="Corbel"/>
                <w:b w:val="0"/>
                <w:smallCaps w:val="0"/>
                <w:color w:val="000000"/>
                <w:sz w:val="24"/>
                <w:szCs w:val="24"/>
              </w:rPr>
              <w:t xml:space="preserve"> B</w:t>
            </w:r>
            <w:r>
              <w:rPr>
                <w:rFonts w:hint="default" w:ascii="Corbel" w:hAnsi="Corbel"/>
                <w:b w:val="0"/>
                <w:smallCaps w:val="0"/>
                <w:color w:val="000000"/>
                <w:sz w:val="24"/>
                <w:szCs w:val="24"/>
                <w:lang w:val="pl-PL"/>
              </w:rPr>
              <w:t>2</w:t>
            </w:r>
            <w:r>
              <w:rPr>
                <w:rFonts w:ascii="Corbel" w:hAnsi="Corbel"/>
                <w:b w:val="0"/>
                <w:smallCaps w:val="0"/>
                <w:color w:val="000000"/>
                <w:sz w:val="24"/>
                <w:szCs w:val="24"/>
              </w:rPr>
              <w:t xml:space="preserve"> według Europejskiego Systemu Opisu Kształcenia Językowego</w:t>
            </w:r>
          </w:p>
        </w:tc>
      </w:tr>
    </w:tbl>
    <w:p>
      <w:pPr>
        <w:pStyle w:val="21"/>
        <w:spacing w:before="0" w:after="0"/>
        <w:rPr>
          <w:rFonts w:ascii="Corbel" w:hAnsi="Corbel"/>
          <w:szCs w:val="24"/>
        </w:rPr>
      </w:pPr>
    </w:p>
    <w:p>
      <w:pPr>
        <w:pStyle w:val="21"/>
        <w:spacing w:before="0" w:after="0"/>
        <w:rPr>
          <w:rFonts w:hint="default" w:ascii="Corbel" w:hAnsi="Corbel"/>
          <w:szCs w:val="24"/>
          <w:lang w:val="pl-PL"/>
        </w:rPr>
      </w:pPr>
      <w:r>
        <w:rPr>
          <w:rFonts w:ascii="Corbel" w:hAnsi="Corbel"/>
          <w:szCs w:val="24"/>
        </w:rPr>
        <w:t xml:space="preserve">3. cele, efekty uczenia się , treści </w:t>
      </w:r>
      <w:r>
        <w:rPr>
          <w:rFonts w:hint="default" w:ascii="Corbel" w:hAnsi="Corbel"/>
          <w:szCs w:val="24"/>
          <w:lang w:val="pl-PL"/>
        </w:rPr>
        <w:t>programowe i stosowane metody dydaktyczne</w:t>
      </w:r>
    </w:p>
    <w:p>
      <w:pPr>
        <w:pStyle w:val="21"/>
        <w:spacing w:before="0" w:after="0"/>
        <w:rPr>
          <w:rFonts w:ascii="Corbel" w:hAnsi="Corbel"/>
          <w:szCs w:val="24"/>
        </w:rPr>
      </w:pPr>
    </w:p>
    <w:p>
      <w:pPr>
        <w:pStyle w:val="2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3.1 Cele przedmiotu</w:t>
      </w:r>
      <w:bookmarkStart w:id="0" w:name="_GoBack"/>
      <w:bookmarkEnd w:id="0"/>
    </w:p>
    <w:p>
      <w:pPr>
        <w:pStyle w:val="21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tbl>
      <w:tblPr>
        <w:tblStyle w:val="3"/>
        <w:tblW w:w="9670" w:type="dxa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82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4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4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Rozwijanie czterech sprawności językowych (rozumienie ze słuchu, rozumienie tekstu czytanego, tworzenie wypowiedzi ustnych i pisemnych) w ramach kształcenia kompetencji komunikacyjnej na poziomie B2+.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4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C2</w:t>
            </w:r>
          </w:p>
        </w:tc>
        <w:tc>
          <w:tcPr>
            <w:tcW w:w="88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4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Wykształcenie kompetencji językowej umożliwiającej efektywną komunikację w sytuacjach dnia codziennego, jak i płynne oraz poprawne posługiwanie się językiem niemieckim do celów zawodowych i naukowych.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4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8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4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Kształcenie i udoskonalenie poprawności gramatycznej w wypowiedziach ustnych i pisemnych.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4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4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Utrwalenie słownictwa ogólnego oraz poszerzenie słownictwa specjalistycznego (słownictwa z</w:t>
            </w:r>
            <w:r>
              <w:rPr>
                <w:rFonts w:hint="default" w:ascii="Corbel" w:hAnsi="Corbel"/>
                <w:b w:val="0"/>
                <w:sz w:val="24"/>
                <w:szCs w:val="24"/>
                <w:lang w:val="pl-PL"/>
              </w:rPr>
              <w:t xml:space="preserve"> zakresu finansów i rachunkowości oraz 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ekonomii i zarządzania).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4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C5</w:t>
            </w:r>
          </w:p>
        </w:tc>
        <w:tc>
          <w:tcPr>
            <w:tcW w:w="88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4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Przygotowanie do przedstawienia fachowej prezentacji i wzięcia udziału w specjalistycznej dyskusji </w:t>
            </w:r>
            <w:r>
              <w:rPr>
                <w:rFonts w:hint="default" w:ascii="Corbel" w:hAnsi="Corbel"/>
                <w:b w:val="0"/>
                <w:sz w:val="24"/>
                <w:szCs w:val="24"/>
                <w:lang w:val="pl-PL"/>
              </w:rPr>
              <w:t xml:space="preserve"> w języku niemieckim </w:t>
            </w:r>
            <w:r>
              <w:rPr>
                <w:rFonts w:ascii="Corbel" w:hAnsi="Corbel"/>
                <w:b w:val="0"/>
                <w:sz w:val="24"/>
                <w:szCs w:val="24"/>
              </w:rPr>
              <w:t>dotyczącej własnej tematyki zawodowej na podstawie złożonych tekstów fachowych.</w:t>
            </w:r>
          </w:p>
        </w:tc>
      </w:tr>
    </w:tbl>
    <w:p>
      <w:pPr>
        <w:pStyle w:val="21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>
      <w:pPr>
        <w:pStyle w:val="21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3.2 Efekty uczenia się dla przedmiotu</w:t>
      </w:r>
      <w:r>
        <w:rPr>
          <w:rFonts w:ascii="Corbel" w:hAnsi="Corbel"/>
          <w:sz w:val="24"/>
          <w:szCs w:val="24"/>
        </w:rPr>
        <w:t xml:space="preserve"> </w:t>
      </w:r>
    </w:p>
    <w:p>
      <w:pPr>
        <w:pStyle w:val="21"/>
        <w:spacing w:before="0" w:after="0"/>
        <w:rPr>
          <w:rFonts w:ascii="Corbel" w:hAnsi="Corbel"/>
          <w:b w:val="0"/>
          <w:szCs w:val="24"/>
        </w:rPr>
      </w:pPr>
    </w:p>
    <w:tbl>
      <w:tblPr>
        <w:tblStyle w:val="3"/>
        <w:tblW w:w="9670" w:type="dxa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6096"/>
        <w:gridCol w:w="1874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smallCaps w:val="0"/>
                <w:sz w:val="24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 xml:space="preserve"> (efekt uczenia się)</w:t>
            </w:r>
          </w:p>
        </w:tc>
        <w:tc>
          <w:tcPr>
            <w:tcW w:w="6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 xml:space="preserve">Treść efektu uczenia się zdefiniowanego dla przedmiotu </w:t>
            </w:r>
          </w:p>
        </w:tc>
        <w:tc>
          <w:tcPr>
            <w:tcW w:w="18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 xml:space="preserve">Odniesienie do efektów kierunkowych </w:t>
            </w:r>
            <w:r>
              <w:rPr>
                <w:rStyle w:val="30"/>
                <w:rFonts w:ascii="Corbel" w:hAnsi="Corbel"/>
                <w:b w:val="0"/>
                <w:smallCaps w:val="0"/>
                <w:sz w:val="24"/>
                <w:szCs w:val="24"/>
              </w:rPr>
              <w:footnoteReference w:id="0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softHyphen/>
            </w: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>_01</w:t>
            </w:r>
          </w:p>
        </w:tc>
        <w:tc>
          <w:tcPr>
            <w:tcW w:w="6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hint="default" w:ascii="Corbel" w:hAnsi="Corbel"/>
                <w:sz w:val="24"/>
                <w:szCs w:val="24"/>
                <w:lang w:val="pl-PL"/>
              </w:rPr>
              <w:t xml:space="preserve">Absolwent potrafi </w:t>
            </w:r>
            <w:r>
              <w:rPr>
                <w:rFonts w:ascii="Corbel" w:hAnsi="Corbel"/>
                <w:sz w:val="24"/>
                <w:szCs w:val="24"/>
              </w:rPr>
              <w:t>posługiwać się językiem  niemieckim na poziomie B2+ Europejskiego Systemu Opisu Kształcenia Językowego oraz językiem specjalistycznym w zakresie finansów i rachunkowości</w:t>
            </w:r>
            <w:r>
              <w:rPr>
                <w:rFonts w:hint="default" w:ascii="Corbel" w:hAnsi="Corbel"/>
                <w:sz w:val="24"/>
                <w:szCs w:val="24"/>
                <w:lang w:val="pl-PL"/>
              </w:rPr>
              <w:t xml:space="preserve"> zgodnie z celami zapisanymi w pkt3.1</w:t>
            </w:r>
          </w:p>
        </w:tc>
        <w:tc>
          <w:tcPr>
            <w:tcW w:w="18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K_U13</w:t>
            </w:r>
          </w:p>
        </w:tc>
      </w:tr>
    </w:tbl>
    <w:p>
      <w:pPr>
        <w:pStyle w:val="21"/>
        <w:spacing w:before="0" w:after="0"/>
        <w:rPr>
          <w:rFonts w:ascii="Corbel" w:hAnsi="Corbel"/>
          <w:b w:val="0"/>
          <w:szCs w:val="24"/>
        </w:rPr>
      </w:pPr>
    </w:p>
    <w:p>
      <w:pPr>
        <w:pStyle w:val="14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3.3 Treści programowe </w:t>
      </w:r>
      <w:r>
        <w:rPr>
          <w:rFonts w:ascii="Corbel" w:hAnsi="Corbel"/>
          <w:sz w:val="24"/>
          <w:szCs w:val="24"/>
        </w:rPr>
        <w:t xml:space="preserve">  </w:t>
      </w:r>
    </w:p>
    <w:p>
      <w:pPr>
        <w:pStyle w:val="14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Problematyka wykładu </w:t>
      </w:r>
    </w:p>
    <w:p>
      <w:pPr>
        <w:pStyle w:val="14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pStyle w:val="14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pStyle w:val="14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pStyle w:val="14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9" w:type="dxa"/>
          </w:tcPr>
          <w:p>
            <w:pPr>
              <w:pStyle w:val="14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Corbel" w:hAnsi="Corbel"/>
          <w:sz w:val="24"/>
          <w:szCs w:val="24"/>
        </w:rPr>
      </w:pPr>
    </w:p>
    <w:p>
      <w:pPr>
        <w:pStyle w:val="14"/>
        <w:numPr>
          <w:ilvl w:val="0"/>
          <w:numId w:val="2"/>
        </w:numPr>
        <w:spacing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Problematyka ćwiczeń, konwersatoriów, laboratoriów, zajęć praktycznych </w:t>
      </w:r>
    </w:p>
    <w:p>
      <w:pPr>
        <w:pStyle w:val="21"/>
        <w:spacing w:before="0" w:after="0"/>
        <w:rPr>
          <w:rFonts w:ascii="Corbel" w:hAnsi="Corbel"/>
          <w:b w:val="0"/>
          <w:szCs w:val="24"/>
        </w:rPr>
      </w:pPr>
    </w:p>
    <w:tbl>
      <w:tblPr>
        <w:tblStyle w:val="3"/>
        <w:tblW w:w="9639" w:type="dxa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Semestr 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Kontakty interpersonalne i budowanie relacji w biznesie - analiza przypadku: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nawiązywanie nowych kontaktów poprzez znajomości, polecanie sprawdzonych ludzi i firm, prośba o pomoc w nawiązaniu kontaktów, proponowanie współpracy,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opracowanie profilu klienta,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- opracowanie programu lojalnościowego, 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- określanie celu, sugerowanie, wyrażanie entuzjazmu, zachęcanie do wypowiedzi, 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nie/zgadzanie się z rozmówcą,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przygotowanie przykładowego listu do jednego z kluczowych klientów z propozycją oferty biznesowej,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Kontakty interpersonalne i budowanie relacji w biznesie - analiza przypadku: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rola negocjacji w budowaniu kontaktów wewnątrz firmy i z klientem zewnętrznym - wyrażanie własnej opinii, uzasadnianie, zgadzanie się lub nie z rozmówcą, podsumowanie rozmowy, analiza przypadku,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- budowanie zespołu - umiejętność pracy w grupie, 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- rozwiązywanie konfliktów (metody, przydatne wyrażenie, analiza przypadku).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Funkcjonowanie zawodowe pracownika (analiza przypadku):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- kariera zawodowa pracobiorcy a rynek pracy,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 - satysfakcja zawodowa, jako jeden z czynników motywujących do pracy,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 - wyrażanie opinii na temat polityki motywacyjnej firmy (m.in. zaangażowanie firmy w życie osobiste pracowników, dodatki motywacyjne, świadczenia pozapłacowe).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Semestr 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Technologia w biznesie – charakterystyka zjawiska: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- terminologia IT, 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- systemy informacyjne, 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- nowoczesne formy komunikacji w biznesie, 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e-biznes.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Księgowość – dokumentowanie działalności firmy: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 - zasady księgowości, 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- dokumentacja finansowa firmy, 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- audyt (przykłady dokumentów, opis przypadku).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Pozyskiwanie funduszy na funkcjonowanie firmy: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- różne źródła finansowania działalności firmy, 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argumentowanie / uzasadnianie wyboru możliwości,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procedura uzyskania kredytu (opis przypadku),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ryzyko a planowanie przyszłości i rozwoju firmy (efektywne zarządzanie ryzykiem –omówienie czynników ryzyka dla własnej firmy, kraju).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Obsługa klienta – opis przypadku: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dział obsługi klienta, strategie rozwiązywania problemów w przypadku wpłynięcia skargi i zażalenia,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 techniki aktywnego słuchania (opis wybranych technik i efektywność ich stosowania).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Bieżące wydarzenia polityczne, gospodarcze i społeczne w kraju i na świecie (sprawozdania, notatki oraz prezentacje tematów przygotowanych przez studentów w ramach pracy własnej).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Streszczenie, przypis, bibliografia jako element pracy dyplomowej oraz referatu (obowiązujące zasady, przykłady własne studentów).  </w:t>
            </w:r>
          </w:p>
        </w:tc>
      </w:tr>
    </w:tbl>
    <w:p>
      <w:pPr>
        <w:pStyle w:val="21"/>
        <w:spacing w:before="0" w:after="0"/>
        <w:rPr>
          <w:rFonts w:ascii="Corbel" w:hAnsi="Corbel"/>
          <w:b w:val="0"/>
          <w:szCs w:val="24"/>
        </w:rPr>
      </w:pPr>
    </w:p>
    <w:p>
      <w:pPr>
        <w:pStyle w:val="21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>3.4 Metody dydaktyczne</w:t>
      </w:r>
      <w:r>
        <w:rPr>
          <w:rFonts w:ascii="Corbel" w:hAnsi="Corbel"/>
          <w:b w:val="0"/>
          <w:smallCaps w:val="0"/>
          <w:szCs w:val="24"/>
        </w:rPr>
        <w:t xml:space="preserve"> </w:t>
      </w:r>
    </w:p>
    <w:p>
      <w:pPr>
        <w:pStyle w:val="21"/>
        <w:spacing w:before="0" w:after="0"/>
        <w:rPr>
          <w:rFonts w:ascii="Corbel" w:hAnsi="Corbel"/>
          <w:b w:val="0"/>
          <w:smallCaps w:val="0"/>
          <w:szCs w:val="24"/>
        </w:rPr>
      </w:pPr>
    </w:p>
    <w:p>
      <w:pPr>
        <w:pStyle w:val="21"/>
        <w:spacing w:before="0" w:after="0"/>
        <w:jc w:val="both"/>
        <w:rPr>
          <w:rFonts w:ascii="Corbel" w:hAnsi="Corbel"/>
          <w:b w:val="0"/>
          <w:smallCaps w:val="0"/>
          <w:sz w:val="24"/>
          <w:szCs w:val="24"/>
        </w:rPr>
      </w:pPr>
      <w:r>
        <w:rPr>
          <w:rFonts w:ascii="Corbel" w:hAnsi="Corbel"/>
          <w:b w:val="0"/>
          <w:smallCaps w:val="0"/>
          <w:sz w:val="24"/>
          <w:szCs w:val="24"/>
        </w:rPr>
        <w:t>Ćwiczenia: analiza tekstów z dyskusją, metoda projektów (projekt praktyczny), praca w grupach i indywidualna (rozwiązywanie zadań, dyskusja), gry dydaktyczne.</w:t>
      </w:r>
    </w:p>
    <w:p>
      <w:pPr>
        <w:pStyle w:val="21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>
      <w:pPr>
        <w:pStyle w:val="21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>
      <w:pPr>
        <w:pStyle w:val="21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 xml:space="preserve">4. METODY I KRYTERIA OCENY </w:t>
      </w:r>
    </w:p>
    <w:p>
      <w:pPr>
        <w:pStyle w:val="21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>
      <w:pPr>
        <w:pStyle w:val="21"/>
        <w:spacing w:before="0" w:after="0"/>
        <w:ind w:left="426"/>
        <w:rPr>
          <w:rFonts w:ascii="Corbel" w:hAnsi="Corbel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>4.1 Sposoby weryfikacji efektów uczenia się</w:t>
      </w:r>
    </w:p>
    <w:p>
      <w:pPr>
        <w:pStyle w:val="21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Style w:val="3"/>
        <w:tblW w:w="9639" w:type="dxa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5528"/>
        <w:gridCol w:w="2127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>Symbol efektu</w:t>
            </w:r>
          </w:p>
        </w:tc>
        <w:tc>
          <w:tcPr>
            <w:tcW w:w="55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4"/>
                <w:szCs w:val="24"/>
              </w:rPr>
              <w:t>Metody oceny efektów uczenia się</w:t>
            </w:r>
          </w:p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4"/>
                <w:szCs w:val="24"/>
              </w:rPr>
              <w:t>(np.: kolokwium, egzamin ustny, egzamin pisemny, projekt, sprawozdanie, obserwacja w trakcie zajęć)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 xml:space="preserve">Forma zajęć dydaktycznych </w:t>
            </w:r>
          </w:p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>(w, ćw, …)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21"/>
              <w:spacing w:before="0" w:after="0"/>
              <w:rPr>
                <w:rFonts w:hint="default" w:ascii="Corbel" w:hAnsi="Corbel"/>
                <w:b w:val="0"/>
                <w:sz w:val="24"/>
                <w:szCs w:val="24"/>
                <w:lang w:val="pl-PL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Ek_ 0</w:t>
            </w:r>
            <w:r>
              <w:rPr>
                <w:rFonts w:hint="default" w:ascii="Corbel" w:hAnsi="Corbel"/>
                <w:b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55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21"/>
              <w:spacing w:before="0" w:after="0"/>
              <w:rPr>
                <w:rFonts w:hint="default" w:ascii="Corbel" w:hAnsi="Corbel"/>
                <w:b w:val="0"/>
                <w:sz w:val="24"/>
                <w:szCs w:val="24"/>
                <w:lang w:val="pl-PL" w:eastAsia="ar-SA"/>
              </w:rPr>
            </w:pPr>
            <w:r>
              <w:rPr>
                <w:rFonts w:hint="default" w:ascii="Corbel" w:hAnsi="Corbel"/>
                <w:b w:val="0"/>
                <w:sz w:val="24"/>
                <w:szCs w:val="24"/>
                <w:lang w:val="pl-PL" w:eastAsia="ar-SA"/>
              </w:rPr>
              <w:t xml:space="preserve">krótsza i dłuższa wypowiedź pisemna i ustna, projekt indywidualny </w:t>
            </w:r>
            <w:r>
              <w:rPr>
                <w:rFonts w:ascii="Corbel" w:hAnsi="Corbel"/>
                <w:b w:val="0"/>
                <w:sz w:val="24"/>
                <w:szCs w:val="24"/>
                <w:lang w:eastAsia="ar-SA"/>
              </w:rPr>
              <w:t xml:space="preserve">(prezentacja multimedialna z zakresu wybranej specjalności </w:t>
            </w:r>
            <w:r>
              <w:rPr>
                <w:rFonts w:hint="default" w:ascii="Corbel" w:hAnsi="Corbel"/>
                <w:b w:val="0"/>
                <w:sz w:val="24"/>
                <w:szCs w:val="24"/>
                <w:lang w:val="pl-PL" w:eastAsia="ar-SA"/>
              </w:rPr>
              <w:t xml:space="preserve">dyplomowej  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trike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  <w:lang w:eastAsia="ar-SA"/>
              </w:rPr>
              <w:t>lub prezentacja wybranego zagadnienia dot</w:t>
            </w:r>
            <w:r>
              <w:rPr>
                <w:rFonts w:hint="default" w:ascii="Corbel" w:hAnsi="Corbel"/>
                <w:b w:val="0"/>
                <w:sz w:val="24"/>
                <w:szCs w:val="24"/>
                <w:lang w:val="pl-PL" w:eastAsia="ar-SA"/>
              </w:rPr>
              <w:t xml:space="preserve"> yczącej </w:t>
            </w:r>
            <w:r>
              <w:rPr>
                <w:rFonts w:ascii="Corbel" w:hAnsi="Corbel"/>
                <w:b w:val="0"/>
                <w:sz w:val="24"/>
                <w:szCs w:val="24"/>
                <w:lang w:eastAsia="ar-SA"/>
              </w:rPr>
              <w:t>wybranej specjalności i pracy dyplomowej) jako część końcowego sprawdzianu, realizowana w trakcie trwania semestru, test pisemny jednokrotnego wyboru, obserwacja w trakcie zajęć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ćw</w:t>
            </w:r>
          </w:p>
        </w:tc>
      </w:tr>
    </w:tbl>
    <w:p>
      <w:pPr>
        <w:pStyle w:val="21"/>
        <w:spacing w:before="0" w:after="0"/>
        <w:rPr>
          <w:rFonts w:ascii="Corbel" w:hAnsi="Corbel"/>
          <w:b w:val="0"/>
          <w:smallCaps w:val="0"/>
          <w:szCs w:val="24"/>
        </w:rPr>
      </w:pPr>
    </w:p>
    <w:p>
      <w:pPr>
        <w:pStyle w:val="21"/>
        <w:spacing w:before="0" w:after="0"/>
        <w:ind w:left="426"/>
        <w:rPr>
          <w:rFonts w:ascii="Corbel" w:hAnsi="Corbel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 xml:space="preserve">4.2 Warunki zaliczenia przedmiotu (kryteria oceniania) </w:t>
      </w:r>
    </w:p>
    <w:p>
      <w:pPr>
        <w:pStyle w:val="21"/>
        <w:spacing w:before="0" w:after="0"/>
        <w:rPr>
          <w:rFonts w:ascii="Corbel" w:hAnsi="Corbel"/>
          <w:b w:val="0"/>
          <w:smallCaps w:val="0"/>
          <w:szCs w:val="24"/>
        </w:rPr>
      </w:pPr>
    </w:p>
    <w:p>
      <w:pPr>
        <w:pStyle w:val="21"/>
        <w:spacing w:before="0" w:after="0"/>
        <w:ind w:left="426"/>
        <w:rPr>
          <w:rFonts w:ascii="Corbel" w:hAnsi="Corbel"/>
          <w:smallCaps w:val="0"/>
          <w:sz w:val="22"/>
        </w:rPr>
      </w:pPr>
    </w:p>
    <w:tbl>
      <w:tblPr>
        <w:tblStyle w:val="3"/>
        <w:tblW w:w="9520" w:type="dxa"/>
        <w:tblInd w:w="103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2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5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21"/>
              <w:spacing w:before="0" w:after="0"/>
              <w:jc w:val="both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jc w:val="both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Warunkiem zaliczenia przedmiotu jest osiągnięcie wszystkich założonych efektów uczenia się, w szczególności zaliczenie na ocenę pozytywną wszystkich przewidzianych w danym semestrze prac pisemnych i uzyskanie pozytywnej oceny z odpowiedzi ustnych, a także obecność na zajęciach i aktywne uczestnictwo w zajęciach. Do zaliczenie testu pisemnego, egzaminu potrzeba minimum 50% prawidłowych odpowiedzi.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Sposoby zaliczenia: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- praca projektowa (prezentacja projektu indywidualnego z zakresu studiowanego kierunku i specjalności),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- zaliczenie sprawdzianu pisemnego (test jednokrotnego wyboru i/lub dłuższa wypowiedź pisemna)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Formy zaliczenia: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- krótsza i dłuższa wypowiedź ustna,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- zaliczenie pisemne: test jednokrotnego wyboru i/lub dłuższa wypowiedź pisemna,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- wykonanie pracy zaliczeniowej: prezentacja projektu indywidualnego z zakresu studiowanego kierunku i specjalności (lektura, sprawozdanie /streszczenie artykułu naukowego, prezentacja multimedialna tematu z zakresu studiowanej specjalności wraz z omówieniem)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rPr>
                <w:rFonts w:ascii="Corbel" w:hAnsi="Corbel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Ustalenie oceny zaliczeniowej na podstawie ocen cząstkowych.</w:t>
            </w:r>
            <w:r>
              <w:rPr>
                <w:rFonts w:ascii="Corbel" w:hAnsi="Corbel"/>
                <w:smallCaps w:val="0"/>
                <w:sz w:val="22"/>
              </w:rPr>
              <w:t xml:space="preserve"> 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Semestr 1: sprawdzian pisemny (test jednokrotnego wyboru i/lub dłuższa wypowiedź pisemna), zaliczenie projektu indywidualnego (omówienie artykułu naukowego/ tłumaczenie tekstu specjalistycznego)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Semestr 2: sprawdzian pisemny (test jednokrotnego wyboru i/lub dłuższa wypowiedź pisemna), zaliczenie projektu indywidualnego (omówienie artykułu naukowego/ tłumaczenie tekstu specjalistycznego)</w:t>
            </w:r>
          </w:p>
          <w:p>
            <w:pPr>
              <w:pStyle w:val="21"/>
              <w:spacing w:before="0" w:after="0"/>
              <w:rPr>
                <w:rFonts w:ascii="Corbel" w:hAnsi="Corbel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 xml:space="preserve">Końcowe zaliczenie: sprawdzian pisemny testowy jednokrotnego wyboru na poziomie B2/B2+,  sprawdzian ustny – prezentacja projektu indywidualnego realizowana w trakcie trwania 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semestru I lub II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 xml:space="preserve">Kryteria oceny prac pisemnych: 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5.0 – wykazuje znajomość każdej z treści uczenia się na poziomie 91%-100%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4.5 – wykazuje znajomość każdej z treści uczenia się na poziomie 81%-90%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4.0 – wykazuje znajomość każdej z treści uczenia się na poziomie 71%-80%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3.5 – wykazuje znajomość każdej z treści uczenia się na poziomie 61%-70%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3.0 – wykazuje znajomość każdej z treści uczenia się na poziomie 50%-60%</w:t>
            </w:r>
          </w:p>
          <w:p>
            <w:pPr>
              <w:pStyle w:val="21"/>
              <w:spacing w:before="0" w:after="0"/>
              <w:rPr>
                <w:rFonts w:hint="default" w:ascii="Corbel" w:hAnsi="Corbel"/>
                <w:b w:val="0"/>
                <w:smallCaps w:val="0"/>
                <w:sz w:val="22"/>
                <w:lang w:val="pl-PL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2.0– wykazuje znajomość każdej z treści uczenia się poniżej 50%</w:t>
            </w:r>
            <w:r>
              <w:rPr>
                <w:rFonts w:hint="default" w:ascii="Corbel" w:hAnsi="Corbel"/>
                <w:b w:val="0"/>
                <w:smallCaps w:val="0"/>
                <w:sz w:val="22"/>
                <w:lang w:val="pl-PL"/>
              </w:rPr>
              <w:t xml:space="preserve"> (0%-49%)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Kryteria oceny odpowiedzi ustnej: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5.0 – wykazuje znajomość treści uczenia się na poziomie 91%-100%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Ocena bardzo dobra: bardzo dobry poziom znajomości słownictwa i struktur językowych, brak błędów językowych lub nieliczne błędy językowe nie zakłócające komunikacji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4.5 – wykazuje znajomość treści uczenia się na poziomie 81%-90%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Ocena  plus dobra: dobry  poziom znajomości słownictwa i struktur językowych, nieliczne błędy językowe nieznacznie zakłócające komunikację, nieznaczne zakłócenia w płynności  wypowiedzi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4.0 – wykazuje znajomość treści uczenia się na poziomie 71%-80%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 xml:space="preserve">Ocena dobra: </w:t>
            </w:r>
            <w:r>
              <w:rPr>
                <w:rFonts w:ascii="Corbel" w:hAnsi="Corbel"/>
                <w:b w:val="0"/>
                <w:smallCaps w:val="0"/>
                <w:sz w:val="22"/>
                <w:lang w:val="pl-PL"/>
              </w:rPr>
              <w:t>zadowalający</w:t>
            </w:r>
            <w:r>
              <w:rPr>
                <w:rFonts w:ascii="Corbel" w:hAnsi="Corbel"/>
                <w:b w:val="0"/>
                <w:smallCaps w:val="0"/>
                <w:sz w:val="22"/>
              </w:rPr>
              <w:t xml:space="preserve"> poziom znajomości słownictwa i struktur językowych, błędy językowe nieznacznie zakłócające komunikację, nieznaczne zakłócenia w płynności wypowiedzi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3.5 – wykazuje znajomość treści uczenia się na poziomie 61%-70%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Ocena +dostateczna: ograniczona znajomość słownictwa i struktur językowych, liczne błędy językowe znacznie zakłócające komunikację i płynność wypowiedzi, odpowiedzi częściowo odbiegające od treści zadanego pytania, niekompletna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3.0 – wykazuje znajomość treści uczenia się na poziomie 50%-60%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Ocena dostateczna: ograniczona znajomość słownictwa i struktur językowych, liczne błędy językowe znacznie zakłócające komunikację i płynność wypowiedzi, niepełne odpowiedzi na pytania, odpowiedzi częściowo odbiegające od treści zadanego pytania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rPr>
                <w:rFonts w:hint="default" w:ascii="Corbel" w:hAnsi="Corbel"/>
                <w:b w:val="0"/>
                <w:smallCaps w:val="0"/>
                <w:sz w:val="22"/>
                <w:lang w:val="pl-PL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2.0 – wykazuje znajomość treści uczenia się poniżej 50%</w:t>
            </w:r>
            <w:r>
              <w:rPr>
                <w:rFonts w:hint="default" w:ascii="Corbel" w:hAnsi="Corbel"/>
                <w:b w:val="0"/>
                <w:smallCaps w:val="0"/>
                <w:sz w:val="22"/>
                <w:lang w:val="pl-PL"/>
              </w:rPr>
              <w:t xml:space="preserve"> (0%-49%)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Ocena niedostateczna: brak odpowiedzi lub bardzo ograniczona znajomość słownictwa i struktur językowych uniemożliwiająca wykonanie zadania, chaotyczna konstrukcja wypowiedzi, bardzo uboga treść, niekomunikatywność, mylenie i zniekształcanie podstawowych informacji</w:t>
            </w:r>
          </w:p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Ocenę pozytywną z przedmiotu można otrzymać</w:t>
            </w:r>
          </w:p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wyłącznie pod warunkiem uzyskania pozytywnej oceny</w:t>
            </w:r>
          </w:p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za każdy z ustanowionych efektów uczenia się.</w:t>
            </w:r>
          </w:p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Ocenę końcową z przedmiotu stanowi średnia</w:t>
            </w:r>
          </w:p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arytmetyczna z ocen cząstkowych.</w:t>
            </w:r>
          </w:p>
          <w:p>
            <w:pPr>
              <w:pStyle w:val="21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</w:tbl>
    <w:p>
      <w:pPr>
        <w:pStyle w:val="21"/>
        <w:spacing w:before="0" w:after="0"/>
        <w:rPr>
          <w:rFonts w:ascii="Corbel" w:hAnsi="Corbel"/>
          <w:b w:val="0"/>
          <w:smallCaps w:val="0"/>
          <w:szCs w:val="24"/>
        </w:rPr>
      </w:pPr>
    </w:p>
    <w:p>
      <w:pPr>
        <w:pStyle w:val="29"/>
        <w:numPr>
          <w:ilvl w:val="0"/>
          <w:numId w:val="3"/>
        </w:numPr>
        <w:ind w:left="284" w:hanging="284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>
      <w:pPr>
        <w:pStyle w:val="29"/>
        <w:numPr>
          <w:ilvl w:val="0"/>
          <w:numId w:val="0"/>
        </w:numPr>
        <w:ind w:leftChars="0"/>
        <w:jc w:val="both"/>
        <w:rPr>
          <w:rFonts w:ascii="Corbel" w:hAnsi="Corbel"/>
          <w:b/>
          <w:sz w:val="24"/>
          <w:szCs w:val="24"/>
        </w:rPr>
      </w:pPr>
    </w:p>
    <w:p>
      <w:pPr>
        <w:pStyle w:val="21"/>
        <w:spacing w:before="0" w:after="0"/>
        <w:rPr>
          <w:rFonts w:ascii="Corbel" w:hAnsi="Corbel"/>
          <w:b w:val="0"/>
          <w:smallCaps w:val="0"/>
          <w:sz w:val="22"/>
        </w:rPr>
      </w:pPr>
    </w:p>
    <w:tbl>
      <w:tblPr>
        <w:tblStyle w:val="3"/>
        <w:tblW w:w="9639" w:type="dxa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3"/>
        <w:gridCol w:w="467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14"/>
              <w:spacing w:after="0" w:line="240" w:lineRule="auto"/>
              <w:ind w:left="0"/>
              <w:jc w:val="center"/>
              <w:rPr>
                <w:rFonts w:ascii="Corbel" w:hAnsi="Corbel"/>
                <w:b/>
                <w:bCs w:val="0"/>
                <w:sz w:val="24"/>
                <w:szCs w:val="24"/>
              </w:rPr>
            </w:pPr>
            <w:r>
              <w:rPr>
                <w:rFonts w:ascii="Corbel" w:hAnsi="Corbel"/>
                <w:b/>
                <w:bCs w:val="0"/>
                <w:sz w:val="24"/>
                <w:szCs w:val="24"/>
              </w:rPr>
              <w:t>Forma aktywności</w:t>
            </w:r>
          </w:p>
        </w:tc>
        <w:tc>
          <w:tcPr>
            <w:tcW w:w="46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14"/>
              <w:spacing w:after="0" w:line="240" w:lineRule="auto"/>
              <w:ind w:left="0"/>
              <w:jc w:val="center"/>
              <w:rPr>
                <w:rFonts w:ascii="Corbel" w:hAnsi="Corbel"/>
                <w:b/>
                <w:bCs w:val="0"/>
                <w:sz w:val="24"/>
                <w:szCs w:val="24"/>
              </w:rPr>
            </w:pPr>
            <w:r>
              <w:rPr>
                <w:rFonts w:ascii="Corbel" w:hAnsi="Corbel"/>
                <w:b/>
                <w:bCs w:val="0"/>
                <w:sz w:val="24"/>
                <w:szCs w:val="24"/>
              </w:rPr>
              <w:t>Średnia liczba godzin na zrealizowanie aktywności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Godziny kontaktowe wynikające z harmonogramu studiów</w:t>
            </w:r>
          </w:p>
        </w:tc>
        <w:tc>
          <w:tcPr>
            <w:tcW w:w="46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Inne z udziałem nauczyciela akademickiego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(udział w konsultacjach, omówienie projektu indywidualnego)</w:t>
            </w:r>
          </w:p>
        </w:tc>
        <w:tc>
          <w:tcPr>
            <w:tcW w:w="46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  <w:p>
            <w:pPr>
              <w:pStyle w:val="14"/>
              <w:spacing w:after="0" w:line="240" w:lineRule="auto"/>
              <w:ind w:left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udział w konsultacjach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Godziny niekontaktowe – praca własna studenta</w:t>
            </w:r>
          </w:p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(przygotowanie do zajęć, napisanie referatu itp.)</w:t>
            </w:r>
          </w:p>
        </w:tc>
        <w:tc>
          <w:tcPr>
            <w:tcW w:w="46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jc w:val="center"/>
              <w:rPr>
                <w:rFonts w:hint="default" w:ascii="Corbel" w:hAnsi="Corbel"/>
                <w:sz w:val="24"/>
                <w:szCs w:val="24"/>
                <w:lang w:val="pl-PL"/>
              </w:rPr>
            </w:pPr>
            <w:r>
              <w:rPr>
                <w:rFonts w:hint="default" w:ascii="Corbel" w:hAnsi="Corbel"/>
                <w:sz w:val="24"/>
                <w:szCs w:val="24"/>
                <w:lang w:val="pl-PL"/>
              </w:rPr>
              <w:t>36</w:t>
            </w:r>
          </w:p>
          <w:p>
            <w:pPr>
              <w:pStyle w:val="14"/>
              <w:spacing w:after="0" w:line="240" w:lineRule="auto"/>
              <w:ind w:left="0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(przygotowanie do zajęć, czas na przygotowanie lektury/projektu</w:t>
            </w:r>
            <w:r>
              <w:rPr>
                <w:rFonts w:hint="default" w:ascii="Corbel" w:hAnsi="Corbel"/>
                <w:sz w:val="24"/>
                <w:szCs w:val="24"/>
                <w:lang w:val="pl-PL"/>
              </w:rPr>
              <w:t xml:space="preserve"> np. </w:t>
            </w:r>
            <w:r>
              <w:rPr>
                <w:rFonts w:ascii="Corbel" w:hAnsi="Corbel"/>
                <w:sz w:val="24"/>
                <w:szCs w:val="24"/>
              </w:rPr>
              <w:t>przygotowanie  prezentacji multimedialnej z zakresu studiowanej specjalności i seminarium dyplomowego  do zaliczenia końcowego, przygotowanie bibliografii do pracy dyplomowej z uwzględnieniem źródeł niemieckojęzycznych</w:t>
            </w:r>
            <w:r>
              <w:rPr>
                <w:rFonts w:hint="default" w:ascii="Corbel" w:hAnsi="Corbe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praca własna w ramach e-dydaktyki)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jc w:val="center"/>
              <w:rPr>
                <w:rFonts w:hint="default" w:ascii="Corbel" w:hAnsi="Corbel"/>
                <w:sz w:val="24"/>
                <w:szCs w:val="24"/>
                <w:lang w:val="pl-PL"/>
              </w:rPr>
            </w:pPr>
            <w:r>
              <w:rPr>
                <w:rFonts w:hint="default" w:ascii="Corbel" w:hAnsi="Corbel"/>
                <w:sz w:val="24"/>
                <w:szCs w:val="24"/>
                <w:lang w:val="pl-PL"/>
              </w:rPr>
              <w:t>100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4"/>
              <w:spacing w:after="0" w:line="240" w:lineRule="auto"/>
              <w:ind w:left="0"/>
              <w:jc w:val="center"/>
              <w:rPr>
                <w:rFonts w:hint="default" w:ascii="Corbel" w:hAnsi="Corbel"/>
                <w:sz w:val="24"/>
                <w:szCs w:val="24"/>
                <w:lang w:val="pl-PL"/>
              </w:rPr>
            </w:pPr>
            <w:r>
              <w:rPr>
                <w:rFonts w:hint="default" w:ascii="Corbel" w:hAnsi="Corbel"/>
                <w:sz w:val="24"/>
                <w:szCs w:val="24"/>
                <w:lang w:val="pl-PL"/>
              </w:rPr>
              <w:t>4</w:t>
            </w:r>
          </w:p>
        </w:tc>
      </w:tr>
    </w:tbl>
    <w:p>
      <w:pPr>
        <w:pStyle w:val="21"/>
        <w:spacing w:before="0" w:after="0"/>
        <w:ind w:left="426"/>
        <w:rPr>
          <w:rFonts w:ascii="Corbel" w:hAnsi="Corbel"/>
          <w:b w:val="0"/>
          <w:i/>
          <w:smallCaps w:val="0"/>
          <w:sz w:val="22"/>
        </w:rPr>
      </w:pPr>
      <w:r>
        <w:rPr>
          <w:rFonts w:ascii="Corbel" w:hAnsi="Corbel"/>
          <w:b w:val="0"/>
          <w:i/>
          <w:smallCaps w:val="0"/>
          <w:sz w:val="22"/>
        </w:rPr>
        <w:t>* Należy uwzględnić, że 1 pkt ECTS odpowiada 25-30 godzin całkowitego nakładu pracy studenta.</w:t>
      </w:r>
    </w:p>
    <w:p>
      <w:pPr>
        <w:pStyle w:val="29"/>
        <w:numPr>
          <w:ilvl w:val="0"/>
          <w:numId w:val="0"/>
        </w:numPr>
        <w:ind w:leftChars="0"/>
        <w:jc w:val="both"/>
        <w:rPr>
          <w:rFonts w:ascii="Corbel" w:hAnsi="Corbel"/>
          <w:b/>
          <w:sz w:val="24"/>
          <w:szCs w:val="24"/>
        </w:rPr>
      </w:pPr>
    </w:p>
    <w:p>
      <w:pPr>
        <w:pStyle w:val="21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</w:p>
    <w:p>
      <w:pPr>
        <w:pStyle w:val="21"/>
        <w:spacing w:before="0" w:after="0"/>
        <w:rPr>
          <w:rFonts w:ascii="Corbel" w:hAnsi="Corbel"/>
          <w:b w:val="0"/>
          <w:smallCaps w:val="0"/>
          <w:szCs w:val="24"/>
        </w:rPr>
      </w:pPr>
    </w:p>
    <w:p>
      <w:pPr>
        <w:pStyle w:val="21"/>
        <w:spacing w:before="0" w:after="0"/>
        <w:rPr>
          <w:rFonts w:ascii="Corbel" w:hAnsi="Corbel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>6. PRAKTYKI ZAWODOWE W RAMACH PRZEDMIOTU</w:t>
      </w:r>
    </w:p>
    <w:p>
      <w:pPr>
        <w:pStyle w:val="21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Style w:val="3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544" w:type="dxa"/>
          </w:tcPr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>
            <w:pPr>
              <w:pStyle w:val="21"/>
              <w:spacing w:before="0" w:after="0"/>
              <w:rPr>
                <w:rFonts w:hint="default" w:ascii="Corbel" w:hAnsi="Corbel"/>
                <w:b w:val="0"/>
                <w:smallCaps w:val="0"/>
                <w:color w:val="000000"/>
                <w:szCs w:val="24"/>
                <w:lang w:val="pl-PL"/>
              </w:rPr>
            </w:pPr>
            <w:r>
              <w:rPr>
                <w:rFonts w:hint="default" w:ascii="Corbel" w:hAnsi="Corbel"/>
                <w:b w:val="0"/>
                <w:color w:val="000000"/>
                <w:szCs w:val="24"/>
                <w:lang w:val="pl-PL"/>
              </w:rPr>
              <w:t>N</w:t>
            </w:r>
            <w:r>
              <w:rPr>
                <w:rFonts w:hint="default" w:ascii="Corbel" w:hAnsi="Corbel"/>
                <w:b w:val="0"/>
                <w:smallCaps w:val="0"/>
                <w:color w:val="000000"/>
                <w:szCs w:val="24"/>
                <w:lang w:val="pl-PL"/>
              </w:rPr>
              <w:t>ie dotyczy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4" w:type="dxa"/>
          </w:tcPr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>
      <w:pPr>
        <w:pStyle w:val="21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>
      <w:pPr>
        <w:pStyle w:val="21"/>
        <w:numPr>
          <w:ilvl w:val="0"/>
          <w:numId w:val="3"/>
        </w:numPr>
        <w:spacing w:before="0" w:after="0"/>
        <w:ind w:left="284" w:leftChars="0" w:hanging="284" w:firstLineChars="0"/>
        <w:rPr>
          <w:rFonts w:ascii="Corbel" w:hAnsi="Corbel"/>
          <w:smallCaps w:val="0"/>
          <w:szCs w:val="24"/>
        </w:rPr>
      </w:pPr>
      <w:r>
        <w:rPr>
          <w:rFonts w:ascii="Corbel" w:hAnsi="Corbel"/>
          <w:smallCaps w:val="0"/>
          <w:szCs w:val="24"/>
        </w:rPr>
        <w:t xml:space="preserve">LITERATURA </w:t>
      </w:r>
    </w:p>
    <w:p>
      <w:pPr>
        <w:pStyle w:val="21"/>
        <w:numPr>
          <w:ilvl w:val="0"/>
          <w:numId w:val="0"/>
        </w:numPr>
        <w:spacing w:before="0" w:after="0" w:line="240" w:lineRule="auto"/>
        <w:rPr>
          <w:rFonts w:ascii="Corbel" w:hAnsi="Corbel"/>
          <w:smallCaps w:val="0"/>
          <w:szCs w:val="24"/>
        </w:rPr>
      </w:pPr>
    </w:p>
    <w:tbl>
      <w:tblPr>
        <w:tblStyle w:val="3"/>
        <w:tblW w:w="7513" w:type="dxa"/>
        <w:tblInd w:w="67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  <w:lang w:val="en-GB"/>
              </w:rPr>
              <w:t>Literatura podstawowa:</w:t>
            </w:r>
          </w:p>
          <w:p>
            <w:pPr>
              <w:pStyle w:val="21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>Gurgul M., Jarosz A., Jarosz J., Pietrus –Rajman A., Deutsch für Profis (Branża ekonomiczna), Wyd. LektorKlett, Poznań 2021</w:t>
            </w:r>
          </w:p>
          <w:p>
            <w:pPr>
              <w:pStyle w:val="21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>Skoczyńska-Prokopowicz B., Język niemiecki dla studentów ekonomii. Wokół polityki gospodarczej. Prosto i łatwo, Wyd. Uniwersytetu Rzeszowskiego, Rzeszów 2016</w:t>
            </w:r>
          </w:p>
          <w:p>
            <w:pPr>
              <w:pStyle w:val="21"/>
              <w:numPr>
                <w:ilvl w:val="0"/>
                <w:numId w:val="4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Corbel" w:hAnsi="Corbel"/>
                <w:b w:val="0"/>
                <w:bCs/>
                <w:color w:val="000000"/>
                <w:sz w:val="24"/>
                <w:szCs w:val="24"/>
                <w:lang w:val="de-DE"/>
              </w:rPr>
              <w:t>Gerhard C.et al., aspekte beruf. deutsch für berufssprache b2, Ernst klett sprachen, stuttgart 2022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21"/>
              <w:spacing w:before="0" w:after="0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 xml:space="preserve">Literatura uzupełniająca: </w:t>
            </w:r>
          </w:p>
          <w:p>
            <w:pPr>
              <w:pStyle w:val="21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>Ganczar M., Gębal P., Repetytorium leksykalne ekonomiczne. Fachsprache Wirtschaft , LektorKlett, Poznań 2008</w:t>
            </w:r>
          </w:p>
          <w:p>
            <w:pPr>
              <w:pStyle w:val="21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>Materiały własne</w:t>
            </w:r>
          </w:p>
          <w:p>
            <w:pPr>
              <w:pStyle w:val="21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bCs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>e-dydaktyka</w:t>
            </w:r>
          </w:p>
          <w:p>
            <w:pPr>
              <w:pStyle w:val="21"/>
              <w:numPr>
                <w:ilvl w:val="0"/>
                <w:numId w:val="5"/>
              </w:numPr>
              <w:spacing w:before="0" w:after="0"/>
              <w:rPr>
                <w:rFonts w:ascii="Corbel" w:hAnsi="Corbel"/>
                <w:b w:val="0"/>
                <w:bCs/>
                <w:smallCaps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 w:val="24"/>
                <w:szCs w:val="24"/>
              </w:rPr>
              <w:t>strony www</w:t>
            </w:r>
          </w:p>
        </w:tc>
      </w:tr>
    </w:tbl>
    <w:p>
      <w:pPr>
        <w:pStyle w:val="21"/>
        <w:numPr>
          <w:ilvl w:val="0"/>
          <w:numId w:val="0"/>
        </w:numPr>
        <w:spacing w:before="0" w:after="0" w:line="240" w:lineRule="auto"/>
        <w:rPr>
          <w:rFonts w:ascii="Corbel" w:hAnsi="Corbel"/>
          <w:smallCaps w:val="0"/>
          <w:szCs w:val="24"/>
        </w:rPr>
      </w:pPr>
    </w:p>
    <w:p>
      <w:pPr>
        <w:pStyle w:val="21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>
      <w:pPr>
        <w:pStyle w:val="21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>
      <w:pPr>
        <w:pStyle w:val="21"/>
        <w:spacing w:before="0" w:after="0"/>
        <w:ind w:left="360"/>
        <w:rPr>
          <w:rFonts w:ascii="Corbel" w:hAnsi="Corbel"/>
          <w:szCs w:val="24"/>
        </w:rPr>
      </w:pPr>
      <w:r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rbel">
    <w:panose1 w:val="020B0503020204020204"/>
    <w:charset w:val="EE"/>
    <w:family w:val="swiss"/>
    <w:pitch w:val="default"/>
    <w:sig w:usb0="A00002EF" w:usb1="4000A44B" w:usb2="00000000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8"/>
      </w:pPr>
      <w:r>
        <w:rPr>
          <w:rStyle w:val="7"/>
        </w:rPr>
        <w:footnoteRef/>
      </w:r>
      <w:r>
        <w:rPr>
          <w:rStyle w:val="7"/>
        </w:rPr>
        <w:tab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A7C38"/>
    <w:multiLevelType w:val="multilevel"/>
    <w:tmpl w:val="0D9A7C3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8373"/>
    <w:multiLevelType w:val="singleLevel"/>
    <w:tmpl w:val="161B837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B802A9A"/>
    <w:multiLevelType w:val="multilevel"/>
    <w:tmpl w:val="1B802A9A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152F"/>
    <w:multiLevelType w:val="multilevel"/>
    <w:tmpl w:val="1BAE152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1036"/>
    <w:multiLevelType w:val="singleLevel"/>
    <w:tmpl w:val="20501036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attachedTemplate r:id="rId1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045A1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8530D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414E3C"/>
    <w:rsid w:val="0042244A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B3F0E"/>
    <w:rsid w:val="004D31C0"/>
    <w:rsid w:val="004D5282"/>
    <w:rsid w:val="004F1551"/>
    <w:rsid w:val="004F55A3"/>
    <w:rsid w:val="0050496F"/>
    <w:rsid w:val="00511744"/>
    <w:rsid w:val="00513B6F"/>
    <w:rsid w:val="00517C63"/>
    <w:rsid w:val="005363C4"/>
    <w:rsid w:val="00536BDE"/>
    <w:rsid w:val="00543ACC"/>
    <w:rsid w:val="00555778"/>
    <w:rsid w:val="005651A5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5F76A3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4155"/>
    <w:rsid w:val="0081554D"/>
    <w:rsid w:val="0081707E"/>
    <w:rsid w:val="008449B3"/>
    <w:rsid w:val="008552A2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7A3"/>
    <w:rsid w:val="00AE5FCB"/>
    <w:rsid w:val="00AF2C1E"/>
    <w:rsid w:val="00B06142"/>
    <w:rsid w:val="00B135B1"/>
    <w:rsid w:val="00B1435F"/>
    <w:rsid w:val="00B169DF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397B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42A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61A26"/>
    <w:rsid w:val="00F7066B"/>
    <w:rsid w:val="00F83B28"/>
    <w:rsid w:val="00F974D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  <w:rsid w:val="1921105D"/>
    <w:rsid w:val="3AE10DE9"/>
    <w:rsid w:val="5A6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8"/>
    <w:semiHidden/>
    <w:unhideWhenUsed/>
    <w:qFormat/>
    <w:uiPriority w:val="99"/>
    <w:pPr>
      <w:spacing w:after="120"/>
    </w:pPr>
  </w:style>
  <w:style w:type="paragraph" w:styleId="6">
    <w:name w:val="foot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footnote reference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0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page number"/>
    <w:basedOn w:val="2"/>
    <w:semiHidden/>
    <w:qFormat/>
    <w:uiPriority w:val="0"/>
  </w:style>
  <w:style w:type="table" w:styleId="12">
    <w:name w:val="Table Grid"/>
    <w:basedOn w:val="3"/>
    <w:qFormat/>
    <w:uiPriority w:val="5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link w:val="15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ytuł Znak"/>
    <w:link w:val="13"/>
    <w:qFormat/>
    <w:uiPriority w:val="0"/>
    <w:rPr>
      <w:rFonts w:eastAsia="Times New Roman"/>
      <w:b/>
      <w:bCs/>
      <w:lang w:eastAsia="pl-PL"/>
    </w:rPr>
  </w:style>
  <w:style w:type="character" w:customStyle="1" w:styleId="16">
    <w:name w:val="Tekst dymka Znak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7">
    <w:name w:val="Nagłówek Znak"/>
    <w:link w:val="9"/>
    <w:qFormat/>
    <w:uiPriority w:val="99"/>
    <w:rPr>
      <w:rFonts w:ascii="Calibri" w:hAnsi="Calibri" w:eastAsia="Calibri"/>
      <w:sz w:val="22"/>
      <w:szCs w:val="22"/>
    </w:rPr>
  </w:style>
  <w:style w:type="character" w:customStyle="1" w:styleId="18">
    <w:name w:val="Stopka Znak"/>
    <w:link w:val="6"/>
    <w:uiPriority w:val="99"/>
    <w:rPr>
      <w:rFonts w:ascii="Calibri" w:hAnsi="Calibri" w:eastAsia="Calibri"/>
      <w:sz w:val="22"/>
      <w:szCs w:val="22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character" w:customStyle="1" w:styleId="20">
    <w:name w:val="Tekst przypisu dolnego Znak"/>
    <w:link w:val="8"/>
    <w:semiHidden/>
    <w:qFormat/>
    <w:uiPriority w:val="99"/>
    <w:rPr>
      <w:rFonts w:ascii="Calibri" w:hAnsi="Calibri" w:cs="Times New Roman"/>
      <w:sz w:val="20"/>
      <w:szCs w:val="20"/>
    </w:rPr>
  </w:style>
  <w:style w:type="paragraph" w:customStyle="1" w:styleId="21">
    <w:name w:val="Punkty główne"/>
    <w:basedOn w:val="1"/>
    <w:qFormat/>
    <w:uiPriority w:val="0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22">
    <w:name w:val="Pytania"/>
    <w:basedOn w:val="5"/>
    <w:qFormat/>
    <w:uiPriority w:val="0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hAnsi="Times New Roman" w:eastAsia="Times New Roman"/>
      <w:sz w:val="20"/>
      <w:szCs w:val="20"/>
      <w:lang w:eastAsia="pl-PL"/>
    </w:rPr>
  </w:style>
  <w:style w:type="paragraph" w:customStyle="1" w:styleId="23">
    <w:name w:val="Odpowiedzi"/>
    <w:basedOn w:val="1"/>
    <w:qFormat/>
    <w:uiPriority w:val="0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24">
    <w:name w:val="Podpunkty"/>
    <w:basedOn w:val="5"/>
    <w:qFormat/>
    <w:uiPriority w:val="0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hAnsi="Times New Roman" w:eastAsia="Times New Roman"/>
      <w:b/>
      <w:szCs w:val="20"/>
      <w:lang w:eastAsia="pl-PL"/>
    </w:rPr>
  </w:style>
  <w:style w:type="paragraph" w:customStyle="1" w:styleId="25">
    <w:name w:val="Cele"/>
    <w:basedOn w:val="5"/>
    <w:qFormat/>
    <w:uiPriority w:val="0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hAnsi="Times New Roman" w:eastAsia="Times New Roman"/>
      <w:sz w:val="20"/>
      <w:szCs w:val="20"/>
      <w:lang w:eastAsia="pl-PL"/>
    </w:rPr>
  </w:style>
  <w:style w:type="paragraph" w:customStyle="1" w:styleId="26">
    <w:name w:val="Nagłówki tablic"/>
    <w:basedOn w:val="5"/>
    <w:qFormat/>
    <w:uiPriority w:val="99"/>
    <w:rPr>
      <w:rFonts w:ascii="Times New Roman" w:hAnsi="Times New Roman"/>
      <w:sz w:val="24"/>
    </w:rPr>
  </w:style>
  <w:style w:type="paragraph" w:customStyle="1" w:styleId="27">
    <w:name w:val="centralnie w rubryce"/>
    <w:basedOn w:val="1"/>
    <w:qFormat/>
    <w:uiPriority w:val="0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hAnsi="Times New Roman" w:eastAsia="Times New Roman"/>
      <w:sz w:val="20"/>
      <w:szCs w:val="20"/>
      <w:lang w:eastAsia="pl-PL"/>
    </w:rPr>
  </w:style>
  <w:style w:type="character" w:customStyle="1" w:styleId="28">
    <w:name w:val="Tekst podstawowy Znak"/>
    <w:link w:val="5"/>
    <w:semiHidden/>
    <w:qFormat/>
    <w:uiPriority w:val="99"/>
    <w:rPr>
      <w:rFonts w:ascii="Calibri" w:hAnsi="Calibri" w:eastAsia="Calibri"/>
      <w:sz w:val="22"/>
      <w:szCs w:val="22"/>
    </w:rPr>
  </w:style>
  <w:style w:type="paragraph" w:styleId="29">
    <w:name w:val="No Spacing"/>
    <w:qFormat/>
    <w:uiPriority w:val="1"/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customStyle="1" w:styleId="30">
    <w:name w:val="Zakotwiczenie przypisu dolnego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E162-99F7-42AB-B3F2-A060DBFEF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TNR.dotm</Template>
  <Company>Hewlett-Packard Company</Company>
  <Pages>3</Pages>
  <Words>445</Words>
  <Characters>2674</Characters>
  <Lines>22</Lines>
  <Paragraphs>6</Paragraphs>
  <TotalTime>31</TotalTime>
  <ScaleCrop>false</ScaleCrop>
  <LinksUpToDate>false</LinksUpToDate>
  <CharactersWithSpaces>3113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2019-03-06T14:29:00Z</dcterms:created>
  <dc:creator>User</dc:creator>
  <cp:lastModifiedBy>Oem</cp:lastModifiedBy>
  <cp:lastPrinted>2019-02-06T12:12:00Z</cp:lastPrinted>
  <dcterms:modified xsi:type="dcterms:W3CDTF">2023-07-18T06:07:56Z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410BA7AD90E44AA791054BB3DA22B221</vt:lpwstr>
  </property>
</Properties>
</file>