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p14">
  <w:body>
    <w:p w:rsidR="00D22B62" w:rsidP="3A0BE990" w:rsidRDefault="00850FD7" w14:paraId="186C8FFF" w14:textId="0C70303C">
      <w:pPr>
        <w:spacing w:after="200" w:line="240" w:lineRule="auto"/>
        <w:jc w:val="right"/>
        <w:rPr>
          <w:rFonts w:ascii="Corbel" w:hAnsi="Corbel" w:eastAsia="Calibri" w:cs="Times New Roman"/>
          <w:i w:val="1"/>
          <w:iCs w:val="1"/>
        </w:rPr>
      </w:pP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>
        <w:rPr>
          <w:rFonts w:ascii="Times New Roman" w:hAnsi="Times New Roman" w:eastAsia="Calibri" w:cs="Times New Roman"/>
          <w:b/>
          <w:bCs/>
        </w:rPr>
        <w:tab/>
      </w:r>
      <w:r w:rsidRPr="3A0BE990" w:rsidR="00850FD7">
        <w:rPr>
          <w:rFonts w:ascii="Corbel" w:hAnsi="Corbel" w:eastAsia="Calibri" w:cs="Times New Roman"/>
          <w:i w:val="1"/>
          <w:iCs w:val="1"/>
        </w:rPr>
        <w:t xml:space="preserve">Załącznik nr 1.5 do Zarządzenia Rektora </w:t>
      </w:r>
      <w:r w:rsidRPr="3A0BE990" w:rsidR="00850FD7">
        <w:rPr>
          <w:rFonts w:ascii="Corbel" w:hAnsi="Corbel" w:eastAsia="Calibri" w:cs="Times New Roman"/>
          <w:i w:val="1"/>
          <w:iCs w:val="1"/>
        </w:rPr>
        <w:t xml:space="preserve">UR nr</w:t>
      </w:r>
      <w:r w:rsidRPr="3A0BE990" w:rsidR="00850FD7">
        <w:rPr>
          <w:rFonts w:ascii="Corbel" w:hAnsi="Corbel" w:eastAsia="Calibri" w:cs="Times New Roman"/>
          <w:i w:val="1"/>
          <w:iCs w:val="1"/>
        </w:rPr>
        <w:t xml:space="preserve"> </w:t>
      </w:r>
      <w:r w:rsidRPr="3A0BE990" w:rsidR="00CA715A">
        <w:rPr>
          <w:rFonts w:ascii="Corbel" w:hAnsi="Corbel" w:eastAsia="Calibri" w:cs="Times New Roman"/>
          <w:i w:val="1"/>
          <w:iCs w:val="1"/>
        </w:rPr>
        <w:t>7</w:t>
      </w:r>
      <w:r w:rsidRPr="3A0BE990" w:rsidR="00850FD7">
        <w:rPr>
          <w:rFonts w:ascii="Corbel" w:hAnsi="Corbel" w:eastAsia="Calibri" w:cs="Times New Roman"/>
          <w:i w:val="1"/>
          <w:iCs w:val="1"/>
        </w:rPr>
        <w:t>/20</w:t>
      </w:r>
      <w:r w:rsidRPr="3A0BE990" w:rsidR="00CA715A">
        <w:rPr>
          <w:rFonts w:ascii="Corbel" w:hAnsi="Corbel" w:eastAsia="Calibri" w:cs="Times New Roman"/>
          <w:i w:val="1"/>
          <w:iCs w:val="1"/>
        </w:rPr>
        <w:t>23</w:t>
      </w:r>
    </w:p>
    <w:p w:rsidR="00D22B62" w:rsidRDefault="00850FD7" w14:paraId="17DCDE2A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="00D22B62" w:rsidP="3A0BE990" w:rsidRDefault="00850FD7" w14:paraId="0F43B166" w14:textId="685B9D78">
      <w:pPr>
        <w:spacing w:after="0" w:line="240" w:lineRule="exact"/>
        <w:jc w:val="center"/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</w:pPr>
      <w:r w:rsidRPr="3A0BE990" w:rsidR="00850FD7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dotyczy cyklu kształcenia </w:t>
      </w:r>
      <w:r w:rsidRPr="3A0BE990" w:rsidR="00850FD7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202</w:t>
      </w:r>
      <w:r w:rsidRPr="3A0BE990" w:rsidR="735EA3FC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4</w:t>
      </w:r>
      <w:r w:rsidRPr="3A0BE990" w:rsidR="00850FD7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-202</w:t>
      </w:r>
      <w:r w:rsidRPr="3A0BE990" w:rsidR="70E3395E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7</w:t>
      </w:r>
    </w:p>
    <w:p w:rsidR="00D22B62" w:rsidRDefault="00850FD7" w14:paraId="32F95C1D" w14:textId="77777777">
      <w:pPr>
        <w:spacing w:after="0" w:line="240" w:lineRule="exact"/>
        <w:jc w:val="both"/>
        <w:rPr>
          <w:rFonts w:ascii="Corbel" w:hAnsi="Corbel" w:eastAsia="Calibri" w:cs="Times New Roman"/>
          <w:sz w:val="20"/>
          <w:szCs w:val="20"/>
        </w:rPr>
      </w:pPr>
      <w:r w:rsidRPr="3A0BE990" w:rsidR="00850FD7">
        <w:rPr>
          <w:rFonts w:ascii="Corbel" w:hAnsi="Corbel" w:eastAsia="Calibri" w:cs="Times New Roman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A0BE990" w:rsidR="00850FD7">
        <w:rPr>
          <w:rFonts w:ascii="Corbel" w:hAnsi="Corbel" w:eastAsia="Calibri" w:cs="Times New Roman"/>
          <w:i w:val="1"/>
          <w:iCs w:val="1"/>
          <w:sz w:val="20"/>
          <w:szCs w:val="20"/>
        </w:rPr>
        <w:t>(</w:t>
      </w:r>
      <w:r w:rsidRPr="3A0BE990" w:rsidR="00850FD7">
        <w:rPr>
          <w:rFonts w:ascii="Corbel" w:hAnsi="Corbel" w:eastAsia="Calibri" w:cs="Times New Roman"/>
          <w:i w:val="1"/>
          <w:iCs w:val="1"/>
          <w:sz w:val="20"/>
          <w:szCs w:val="20"/>
        </w:rPr>
        <w:t>skrajne daty</w:t>
      </w:r>
      <w:r w:rsidRPr="3A0BE990" w:rsidR="00850FD7">
        <w:rPr>
          <w:rFonts w:ascii="Corbel" w:hAnsi="Corbel" w:eastAsia="Calibri" w:cs="Times New Roman"/>
          <w:sz w:val="20"/>
          <w:szCs w:val="20"/>
        </w:rPr>
        <w:t>)</w:t>
      </w:r>
    </w:p>
    <w:p w:rsidR="00D22B62" w:rsidP="3A0BE990" w:rsidRDefault="00850FD7" w14:paraId="234F9802" w14:textId="6EC44190">
      <w:pPr>
        <w:spacing w:after="0" w:line="240" w:lineRule="exact"/>
        <w:ind w:left="708"/>
        <w:jc w:val="both"/>
        <w:rPr>
          <w:rFonts w:ascii="Corbel" w:hAnsi="Corbel" w:eastAsia="Calibri" w:cs="Times New Roman"/>
          <w:b w:val="1"/>
          <w:bCs w:val="1"/>
          <w:sz w:val="20"/>
          <w:szCs w:val="20"/>
        </w:rPr>
      </w:pPr>
      <w:r>
        <w:rPr>
          <w:rFonts w:ascii="Corbel" w:hAnsi="Corbel" w:eastAsia="Calibri" w:cs="Times New Roman"/>
          <w:sz w:val="20"/>
          <w:szCs w:val="20"/>
        </w:rPr>
        <w:tab/>
      </w:r>
      <w:r>
        <w:rPr>
          <w:rFonts w:ascii="Corbel" w:hAnsi="Corbel" w:eastAsia="Calibri" w:cs="Times New Roman"/>
          <w:sz w:val="20"/>
          <w:szCs w:val="20"/>
        </w:rPr>
        <w:tab/>
      </w:r>
      <w:r>
        <w:rPr>
          <w:rFonts w:ascii="Corbel" w:hAnsi="Corbel" w:eastAsia="Calibri" w:cs="Times New Roman"/>
          <w:sz w:val="20"/>
          <w:szCs w:val="20"/>
        </w:rPr>
        <w:tab/>
      </w:r>
      <w:r>
        <w:rPr>
          <w:rFonts w:ascii="Corbel" w:hAnsi="Corbel" w:eastAsia="Calibri" w:cs="Times New Roman"/>
          <w:sz w:val="20"/>
          <w:szCs w:val="20"/>
        </w:rPr>
        <w:tab/>
      </w:r>
      <w:r w:rsidR="00850FD7">
        <w:rPr>
          <w:rFonts w:ascii="Corbel" w:hAnsi="Corbel" w:eastAsia="Calibri" w:cs="Times New Roman"/>
          <w:b w:val="1"/>
          <w:bCs w:val="1"/>
          <w:sz w:val="20"/>
          <w:szCs w:val="20"/>
        </w:rPr>
        <w:t>Rok akademicki 202</w:t>
      </w:r>
      <w:r w:rsidR="722720AA">
        <w:rPr>
          <w:rFonts w:ascii="Corbel" w:hAnsi="Corbel" w:eastAsia="Calibri" w:cs="Times New Roman"/>
          <w:b w:val="1"/>
          <w:bCs w:val="1"/>
          <w:sz w:val="20"/>
          <w:szCs w:val="20"/>
        </w:rPr>
        <w:t>5</w:t>
      </w:r>
      <w:r w:rsidR="00850FD7">
        <w:rPr>
          <w:rFonts w:ascii="Corbel" w:hAnsi="Corbel" w:eastAsia="Calibri" w:cs="Times New Roman"/>
          <w:b w:val="1"/>
          <w:bCs w:val="1"/>
          <w:sz w:val="20"/>
          <w:szCs w:val="20"/>
        </w:rPr>
        <w:t>/202</w:t>
      </w:r>
      <w:r w:rsidR="06D0D43E">
        <w:rPr>
          <w:rFonts w:ascii="Corbel" w:hAnsi="Corbel" w:eastAsia="Calibri" w:cs="Times New Roman"/>
          <w:b w:val="1"/>
          <w:bCs w:val="1"/>
          <w:sz w:val="20"/>
          <w:szCs w:val="20"/>
        </w:rPr>
        <w:t>6</w:t>
      </w:r>
    </w:p>
    <w:p w:rsidR="00D22B62" w:rsidRDefault="00D22B62" w14:paraId="3F87458A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D22B62" w:rsidRDefault="00850FD7" w14:paraId="43839D8B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22B62" w:rsidTr="3A0BE990" w14:paraId="01ABDCD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2B3FB23E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5A5B8B5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>Socjologia konsumpcji</w:t>
            </w:r>
          </w:p>
        </w:tc>
      </w:tr>
      <w:tr w:rsidR="00D22B62" w:rsidTr="3A0BE990" w14:paraId="694628F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3943B27E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752360D1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S1S[3]B_02</w:t>
            </w:r>
          </w:p>
        </w:tc>
      </w:tr>
      <w:tr w:rsidR="00D22B62" w:rsidTr="3A0BE990" w14:paraId="74D12F6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39F3D83" w14:textId="7777777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F07AEFE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D22B62" w:rsidTr="3A0BE990" w14:paraId="74162D4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18142FD4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P="552FB0EA" w:rsidRDefault="00E25066" w14:paraId="597B8E7D" w14:textId="5A656BAC" w14:noSpellErr="1">
            <w:pPr>
              <w:widowControl w:val="0"/>
              <w:spacing w:beforeAutospacing="on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552FB0EA" w:rsidR="00E25066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Instytut Nauk Socjologicznych</w:t>
            </w:r>
          </w:p>
        </w:tc>
      </w:tr>
      <w:tr w:rsidR="00D22B62" w:rsidTr="3A0BE990" w14:paraId="6B35693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11D3A46F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7F57ED3E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D22B62" w:rsidTr="3A0BE990" w14:paraId="7F353CF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7B117ECC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693A5E01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>I stopnia</w:t>
            </w:r>
            <w:bookmarkStart w:name="_GoBack" w:id="1"/>
            <w:bookmarkEnd w:id="1"/>
          </w:p>
        </w:tc>
      </w:tr>
      <w:tr w:rsidR="00D22B62" w:rsidTr="3A0BE990" w14:paraId="2F90980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38714340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6C2DAE9C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D22B62" w:rsidTr="3A0BE990" w14:paraId="2284B4C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5923FF41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550456D9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D22B62" w:rsidTr="3A0BE990" w14:paraId="74EB8C3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5818DA83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C83BCB7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>Rok 2, semestr III</w:t>
            </w:r>
          </w:p>
        </w:tc>
      </w:tr>
      <w:tr w:rsidR="00D22B62" w:rsidTr="3A0BE990" w14:paraId="0F8AA6A7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0B704FF1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P="78B3DA84" w:rsidRDefault="00850FD7" w14:paraId="6EB7782F" w14:textId="17004799">
            <w:pPr>
              <w:widowControl w:val="0"/>
              <w:spacing w:beforeAutospacing="on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3A0BE990" w:rsidR="00850FD7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 xml:space="preserve">specjalnościowy </w:t>
            </w:r>
          </w:p>
        </w:tc>
      </w:tr>
      <w:tr w:rsidR="00D22B62" w:rsidTr="3A0BE990" w14:paraId="6F60FD1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552806A5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7B93C7B2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D22B62" w:rsidTr="3A0BE990" w14:paraId="4DD8BAF7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76DB0857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BDBE478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D22B62" w:rsidTr="3A0BE990" w14:paraId="7E05923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0E897ABD" w14:textId="7777777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B365271" w14:textId="77777777">
            <w:pPr>
              <w:widowControl w:val="0"/>
              <w:spacing w:beforeAutospacing="1"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="00D22B62" w:rsidRDefault="00850FD7" w14:paraId="36C727AA" w14:textId="7777777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3A0BE990" w:rsidR="00850FD7"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  <w:t xml:space="preserve">* </w:t>
      </w:r>
      <w:r w:rsidRPr="3A0BE990" w:rsidR="00850FD7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>-</w:t>
      </w:r>
      <w:r w:rsidRPr="3A0BE990" w:rsidR="00850FD7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opcjonalni</w:t>
      </w:r>
      <w:r w:rsidRPr="3A0BE990" w:rsidR="00850FD7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3A0BE990" w:rsidR="00850FD7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 xml:space="preserve"> </w:t>
      </w:r>
      <w:r w:rsidRPr="3A0BE990" w:rsidR="00850FD7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zgodnie z ustaleniami w Jednostce</w:t>
      </w:r>
    </w:p>
    <w:p w:rsidR="3A0BE990" w:rsidP="3A0BE990" w:rsidRDefault="3A0BE990" w14:paraId="0F3BE636" w14:textId="6DE941A1">
      <w:pPr>
        <w:spacing w:after="0" w:line="240" w:lineRule="auto"/>
        <w:ind w:left="284"/>
        <w:jc w:val="both"/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</w:pPr>
    </w:p>
    <w:p w:rsidR="00D22B62" w:rsidRDefault="00850FD7" w14:paraId="11497CF4" w14:textId="7777777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D22B62" w:rsidRDefault="00D22B62" w14:paraId="4B4B4819" w14:textId="77777777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504" w:type="dxa"/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D22B62" w:rsidTr="3A0BE990" w14:paraId="3258A692" w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22B62" w:rsidRDefault="00850FD7" w14:paraId="2219CE69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="00D22B62" w:rsidRDefault="00850FD7" w14:paraId="53105820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3511B67E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0392C4B6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309131CA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D2FEAA6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249BB18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219B6AED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6261CC74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5CED6D7C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1B8E04BE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="00D22B62" w:rsidTr="3A0BE990" w14:paraId="16562D7A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0DFAF5B3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D22B62" w14:paraId="6FB09284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D22B62" w14:paraId="63F1BE86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4C26FC29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D22B62" w14:paraId="0EA496CD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D22B62" w14:paraId="5B39EB25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D22B62" w14:paraId="57FEDEE1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D22B62" w14:paraId="67B941EA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D22B62" w14:paraId="4922A897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22B62" w:rsidRDefault="00850FD7" w14:paraId="51AA88FD" w14:textId="7777777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D22B62" w:rsidRDefault="00D22B62" w14:paraId="031B5374" w14:textId="77777777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="00D22B62" w:rsidRDefault="00850FD7" w14:paraId="73254B03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1.2.</w:t>
      </w:r>
      <w:r>
        <w:rPr>
          <w:rFonts w:ascii="Corbel" w:hAnsi="Corbel" w:eastAsia="Calibri" w:cs="Times New Roman"/>
          <w:b/>
          <w:sz w:val="24"/>
          <w:szCs w:val="24"/>
        </w:rPr>
        <w:tab/>
      </w:r>
      <w:r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D22B62" w:rsidRDefault="00850FD7" w14:paraId="78BBB6EF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ascii="MS Gothic" w:hAnsi="MS Gothic" w:eastAsia="MS Gothic" w:cs="MS Gothic"/>
          <w:smallCaps/>
          <w:sz w:val="24"/>
          <w:szCs w:val="24"/>
        </w:rPr>
        <w:t>×</w:t>
      </w:r>
      <w:r>
        <w:rPr>
          <w:rFonts w:ascii="Corbel" w:hAnsi="Corbel" w:eastAsia="Calibri" w:cs="Times New Roman"/>
          <w:sz w:val="24"/>
          <w:szCs w:val="24"/>
        </w:rPr>
        <w:t xml:space="preserve"> zajęcia w formie tradycyjnej </w:t>
      </w:r>
    </w:p>
    <w:p w:rsidR="00D22B62" w:rsidRDefault="00850FD7" w14:paraId="5465F0F9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ascii="MS Gothic" w:hAnsi="MS Gothic" w:eastAsia="MS Gothic" w:cs="MS Gothic"/>
          <w:smallCaps/>
          <w:sz w:val="24"/>
          <w:szCs w:val="24"/>
        </w:rPr>
        <w:t>☐</w:t>
      </w:r>
      <w:r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="00D22B62" w:rsidRDefault="00D22B62" w14:paraId="65DA6DED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D22B62" w:rsidRDefault="00850FD7" w14:paraId="07B80567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>
        <w:rPr>
          <w:rFonts w:ascii="Corbel" w:hAnsi="Corbel" w:eastAsia="Calibri" w:cs="Times New Roman"/>
          <w:b/>
          <w:sz w:val="24"/>
          <w:szCs w:val="24"/>
        </w:rPr>
        <w:tab/>
      </w:r>
      <w:r>
        <w:rPr>
          <w:rFonts w:ascii="Corbel" w:hAnsi="Corbel" w:eastAsia="Calibri" w:cs="Times New Roman"/>
          <w:b/>
          <w:sz w:val="24"/>
          <w:szCs w:val="24"/>
        </w:rPr>
        <w:t xml:space="preserve">Forma zaliczenia przedmiotu (z toku) </w:t>
      </w:r>
      <w:r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D22B62" w:rsidRDefault="00D22B62" w14:paraId="39B3EDE6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D22B62" w:rsidRDefault="00850FD7" w14:paraId="46BA7436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="00D22B62" w:rsidRDefault="00D22B62" w14:paraId="7A09056B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D22B62" w:rsidRDefault="00850FD7" w14:paraId="4721D6DA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="00D22B62" w:rsidRDefault="00D22B62" w14:paraId="783C4222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00CDD6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3AC2037E" w14:textId="77777777">
            <w:pPr>
              <w:widowControl w:val="0"/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="00D22B62" w:rsidRDefault="00D22B62" w14:paraId="48969015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00D22B62" w:rsidRDefault="00D22B62" w14:paraId="53226366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3A0BE990" w:rsidRDefault="3A0BE990" w14:paraId="0FFE9C63" w14:textId="0F550F07">
      <w:r>
        <w:br w:type="page"/>
      </w:r>
    </w:p>
    <w:p w:rsidR="00D22B62" w:rsidP="3A0BE990" w:rsidRDefault="00850FD7" w14:paraId="694C1DDD" w14:textId="77777777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3A0BE990" w:rsidR="00850FD7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3. cele, efekty uczenia się, treści Programowe i stosowane metody Dydaktyczne</w:t>
      </w:r>
    </w:p>
    <w:p w:rsidR="00D22B62" w:rsidRDefault="00D22B62" w14:paraId="28229103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00D22B62" w:rsidRDefault="00850FD7" w14:paraId="5121DEE1" w14:textId="7777777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="00D22B62" w:rsidRDefault="00D22B62" w14:paraId="1B703FD2" w14:textId="7777777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D22B62" w14:paraId="349067CC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3C4D2C36" w14:textId="7777777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77A5F40C" w14:textId="7777777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zapoznanie studentów z tematyką debaty wokół społeczeństwa konsumpcyjnego, dynamiką zmian dotyczących społecznych, kulturowych i ekonomicznych uwarunkowań konsumpcji, aparatem teoretycznym w zakresie zachowań konsumentów, podstawowymi zasadami ich postępowania na rynku oraz charakterystyką czynników kształtujących podejmowanie decyzji zakupowych</w:t>
            </w:r>
          </w:p>
        </w:tc>
      </w:tr>
    </w:tbl>
    <w:p w:rsidR="00D22B62" w:rsidRDefault="00D22B62" w14:paraId="22EAC544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="00D22B62" w:rsidRDefault="00850FD7" w14:paraId="239E9879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D22B62" w:rsidRDefault="00D22B62" w14:paraId="164C1A7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22B62" w14:paraId="3C855D07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00A0567F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22230501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3483BA0D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eastAsia="Calibri" w:cs="Times New Roman"/>
                <w:sz w:val="24"/>
                <w:szCs w:val="24"/>
              </w:rPr>
              <w:footnoteReference w:id="1"/>
            </w:r>
          </w:p>
        </w:tc>
      </w:tr>
      <w:tr w:rsidR="00D22B62" w14:paraId="1E4FBCA3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34E9EA2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5A28A124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 zna rodzaje więzi społecznych, którymi zajmuje się socjologia oraz mechanizmy nimi rządzące; ma elementarną wiedzę socjologiczną o człowieku, w szczególności jako podmiocie tworzącym rzeczywistość społeczną i w niej działającym.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3BAB852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KW_05</w:t>
            </w:r>
          </w:p>
          <w:p w:rsidR="00D22B62" w:rsidRDefault="00850FD7" w14:paraId="0D3DFE41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KW_06</w:t>
            </w:r>
          </w:p>
        </w:tc>
      </w:tr>
      <w:tr w:rsidR="00D22B62" w14:paraId="1C151A44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74047574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A1AE4D7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 samodzielnie i prawidłowo interpretuje i analizuje zjawiska społeczne dotyczące: społeczeństwa konsumpcyjnego, społecznych, kulturowych i ekonomicznych uwarunkowań konsumpcji</w:t>
            </w:r>
            <w:r>
              <w:rPr>
                <w:rFonts w:ascii="Corbel" w:hAnsi="Corbel"/>
                <w:sz w:val="24"/>
                <w:szCs w:val="24"/>
              </w:rPr>
              <w:t xml:space="preserve"> oraz szeroko rozumianych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zachowań konsumentów na rynku.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24C9F622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KU_01</w:t>
            </w:r>
          </w:p>
          <w:p w:rsidR="00D22B62" w:rsidRDefault="00850FD7" w14:paraId="72F42AA6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KU_08</w:t>
            </w:r>
          </w:p>
        </w:tc>
      </w:tr>
    </w:tbl>
    <w:p w:rsidR="00D22B62" w:rsidRDefault="00D22B62" w14:paraId="709D7532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D22B62" w:rsidRDefault="00850FD7" w14:paraId="63A5FED7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>
        <w:rPr>
          <w:rFonts w:ascii="Corbel" w:hAnsi="Corbel" w:eastAsia="Calibri" w:cs="Times New Roman"/>
          <w:sz w:val="24"/>
          <w:szCs w:val="24"/>
        </w:rPr>
        <w:t xml:space="preserve">  </w:t>
      </w:r>
    </w:p>
    <w:p w:rsidR="00D22B62" w:rsidRDefault="00850FD7" w14:paraId="722E6BB9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="00D22B62" w:rsidRDefault="00D22B62" w14:paraId="79E78E71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00F878A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4350772B" w14:textId="7777777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="00D22B62" w14:paraId="71A921A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573A4655" w14:textId="7777777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="00D22B62" w:rsidRDefault="00D22B62" w14:paraId="007C721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D22B62" w:rsidRDefault="00850FD7" w14:paraId="41308F6D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D22B62" w:rsidRDefault="00D22B62" w14:paraId="7EFB2A9A" w14:textId="77777777">
      <w:pPr>
        <w:spacing w:after="200" w:line="240" w:lineRule="auto"/>
        <w:ind w:left="720"/>
        <w:contextualSpacing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8B2291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049E51BB" w14:textId="7777777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="00D22B62" w14:paraId="274E1E6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75DFD728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Pojęcie konsumpcji i jej rodzaje. Indywidualizm, konsumeryzm i zmierzch wspólnoty.</w:t>
            </w:r>
          </w:p>
        </w:tc>
      </w:tr>
      <w:tr w:rsidR="00D22B62" w14:paraId="6F7B129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7AF04B06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Podstawowe pojęcia z zakresu zachowania konsumentów na rynku (rozwój teorii zachowania konsumentów, zachowania racjonalne i irracjonalne). </w:t>
            </w:r>
          </w:p>
        </w:tc>
      </w:tr>
      <w:tr w:rsidR="00D22B62" w14:paraId="77326E5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5F8472BC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Wewnętrzne uwarunkowania zachowań konsumenckich (potrzeby, motywy, postrzeganie, postawy osobowość, uczenie się, ryzyko związane z zakupem). </w:t>
            </w:r>
          </w:p>
        </w:tc>
      </w:tr>
      <w:tr w:rsidR="00D22B62" w14:paraId="2BBB822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4BFC37D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Zewnętrzne uwarunkowania zachowań konsumenckich (ekonomiczne i społeczno-kulturowe). </w:t>
            </w:r>
          </w:p>
        </w:tc>
      </w:tr>
      <w:tr w:rsidR="00D22B62" w14:paraId="56F8933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537BFF28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Istota i zakres decyzji konsumenckich (podział decyzji, proces decyzyjny, zachowania konsumentów po dokonaniu zakupu). </w:t>
            </w:r>
          </w:p>
        </w:tc>
      </w:tr>
      <w:tr w:rsidR="00D22B62" w14:paraId="745B16B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1933D410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Motywacje i emocje w marketingu (marketing i motywacja, ukryta motywacja w reklamie,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emocje w reklamie). </w:t>
            </w:r>
          </w:p>
        </w:tc>
      </w:tr>
      <w:tr w:rsidR="00D22B62" w14:paraId="59FFC7B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5827CEF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Kupowanie powtarzane i przywiązanie do marki. Zachowania konsumentów wobec nowych produktów, znak towarowy.</w:t>
            </w:r>
          </w:p>
        </w:tc>
      </w:tr>
      <w:tr w:rsidR="00D22B62" w14:paraId="1B02C96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449ECBF2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Kupowanie nieplanowane – reakcja na zabiegi marketingowe.</w:t>
            </w:r>
          </w:p>
        </w:tc>
      </w:tr>
      <w:tr w:rsidR="00D22B62" w14:paraId="7E16A59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54F60B26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Reakcja konsumentów na cenę (znajomość cen, wrażliwość na cenę, elastyczność cenowa, tworzenie korzystnej ceny odniesienia). </w:t>
            </w:r>
          </w:p>
        </w:tc>
      </w:tr>
      <w:tr w:rsidR="00D22B62" w14:paraId="3703223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45DC7F0E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Typy decyzji zakupowych. Dysonans i satysfakcja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pozakupowa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="00D22B62" w14:paraId="705F930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0E446190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Postawy konsumenckie. Psychograficzna segmentacja rynku.</w:t>
            </w:r>
          </w:p>
        </w:tc>
      </w:tr>
      <w:tr w:rsidR="00D22B62" w14:paraId="72D588B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1D98327C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Neuromarketing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jako metoda badań konsumentów. Prawdy i mity o lokowaniu produktu i informacji podprogowej, fenomen „neuronów lustrzanych”. Marketing sensoryczny, markery somatyczne i ich wpływ na konsumentów.</w:t>
            </w:r>
          </w:p>
        </w:tc>
      </w:tr>
      <w:tr w:rsidR="00D22B62" w14:paraId="265CD5D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04EA2A13" w14:textId="77777777">
            <w:pPr>
              <w:widowControl w:val="0"/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Współczesne trendy ograniczania konsumpcji – minimalizm i zero waste.</w:t>
            </w:r>
          </w:p>
        </w:tc>
      </w:tr>
    </w:tbl>
    <w:p w:rsidR="00D22B62" w:rsidRDefault="00D22B62" w14:paraId="5285A3FA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D22B62" w:rsidRDefault="00850FD7" w14:paraId="6BF09119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3.4 Metody dydaktyczne</w:t>
      </w:r>
      <w:r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D22B62" w:rsidRDefault="00D22B62" w14:paraId="06FB5FC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D22B62" w:rsidRDefault="00850FD7" w14:paraId="7495F3C9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>analiza tekstów z dyskusją, analiza treści multimedialnych, studium przypadków</w:t>
      </w:r>
    </w:p>
    <w:p w:rsidR="00D22B62" w:rsidRDefault="00D22B62" w14:paraId="37B66373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D22B62" w:rsidRDefault="00D22B62" w14:paraId="6B120F50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D22B62" w:rsidRDefault="00850FD7" w14:paraId="2EE2566A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="00D22B62" w:rsidRDefault="00D22B62" w14:paraId="3C19FF25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="00D22B62" w:rsidRDefault="00850FD7" w14:paraId="4C5DF1BA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="00D22B62" w:rsidRDefault="00D22B62" w14:paraId="4B0F4AC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69"/>
        <w:gridCol w:w="2122"/>
      </w:tblGrid>
      <w:tr w:rsidR="00D22B62" w14:paraId="0CC9A155" w14:textId="77777777"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24B3B451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1D1957FA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D22B62" w:rsidRDefault="00850FD7" w14:paraId="7050CF69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6731D4D2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="00D22B62" w:rsidRDefault="00850FD7" w14:paraId="7DBE68DB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="00D22B62" w14:paraId="2D1D442B" w14:textId="77777777"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2E3EF274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3FE804F0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431238E3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D22B62" w14:paraId="4102A9A4" w14:textId="77777777"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56CCE815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0DF04BE4" w14:textId="77777777">
            <w:pPr>
              <w:widowControl w:val="0"/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569C30A2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="00D22B62" w:rsidRDefault="00D22B62" w14:paraId="1E32DCE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D22B62" w:rsidRDefault="00850FD7" w14:paraId="20519271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="00D22B62" w:rsidRDefault="00D22B62" w14:paraId="746BAA93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EB09A5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17BCC13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D22B62" w:rsidRDefault="00850FD7" w14:paraId="6550ECB6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poprawna odpowiedź na 50 proc. pytań (w przypadku zaliczenia ustnego) lub</w:t>
            </w:r>
          </w:p>
          <w:p w:rsidR="00D22B62" w:rsidRDefault="00850FD7" w14:paraId="6C95ECF6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="00D22B62" w:rsidRDefault="00D22B62" w14:paraId="681D067E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3A0BE990" w:rsidP="3A0BE990" w:rsidRDefault="3A0BE990" w14:paraId="4903366B" w14:textId="5653707B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 w:val="1"/>
          <w:bCs w:val="1"/>
          <w:sz w:val="24"/>
          <w:szCs w:val="24"/>
        </w:rPr>
      </w:pPr>
    </w:p>
    <w:p w:rsidR="00D22B62" w:rsidRDefault="00850FD7" w14:paraId="3C8EED49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22B62" w:rsidRDefault="00D22B62" w14:paraId="5231D75F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22B62" w14:paraId="0FE86BF5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5D2026C9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22B62" w:rsidRDefault="00850FD7" w14:paraId="357CCD9A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2B62" w14:paraId="3D40E384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28255C4" w14:textId="030B1DA5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P="00CA715A" w:rsidRDefault="00850FD7" w14:paraId="3D213026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="00D22B62" w14:paraId="30751E7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7D652441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="00D22B62" w:rsidRDefault="00850FD7" w14:paraId="2C2CC1A2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P="00CA715A" w:rsidRDefault="00850FD7" w14:paraId="4C0D2C9B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</w:tr>
      <w:tr w:rsidR="00D22B62" w14:paraId="4A561312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181E5AC7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P="00CA715A" w:rsidRDefault="00850FD7" w14:paraId="5F8D49D3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15</w:t>
            </w:r>
          </w:p>
        </w:tc>
      </w:tr>
      <w:tr w:rsidR="00D22B62" w14:paraId="0499D97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63267733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P="00CA715A" w:rsidRDefault="00850FD7" w14:paraId="55B7BB50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50</w:t>
            </w:r>
          </w:p>
        </w:tc>
      </w:tr>
      <w:tr w:rsidR="00D22B62" w14:paraId="5DFD5608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1D383ED7" w14:textId="77777777">
            <w:pPr>
              <w:widowControl w:val="0"/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P="00CA715A" w:rsidRDefault="00850FD7" w14:paraId="11CF6FB6" w14:textId="77777777">
            <w:pPr>
              <w:widowControl w:val="0"/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2</w:t>
            </w:r>
          </w:p>
        </w:tc>
      </w:tr>
    </w:tbl>
    <w:p w:rsidR="00D22B62" w:rsidRDefault="00850FD7" w14:paraId="5ADA6498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D22B62" w:rsidRDefault="00D22B62" w14:paraId="07520672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3A0BE990" w:rsidRDefault="3A0BE990" w14:paraId="328C1374" w14:textId="389537CA">
      <w:r>
        <w:br w:type="page"/>
      </w:r>
    </w:p>
    <w:p w:rsidR="00D22B62" w:rsidRDefault="00850FD7" w14:paraId="70CDF41D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="00D22B62" w:rsidRDefault="00D22B62" w14:paraId="281AFF49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3"/>
      </w:tblGrid>
      <w:tr w:rsidR="00D22B62" w14:paraId="3E57E414" w14:textId="77777777">
        <w:trPr>
          <w:trHeight w:val="397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2EC06C03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26FC766C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D22B62" w14:paraId="0F280EDD" w14:textId="77777777">
        <w:trPr>
          <w:trHeight w:val="397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4CD59ABF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22B62" w:rsidRDefault="00850FD7" w14:paraId="399E762A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="00D22B62" w:rsidRDefault="00D22B62" w14:paraId="0ECEF374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00D22B62" w:rsidRDefault="00850FD7" w14:paraId="345E6156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="00D22B62" w:rsidRDefault="00D22B62" w14:paraId="23C902ED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9435" w:type="dxa"/>
        <w:tblInd w:w="151" w:type="dxa"/>
        <w:tblLayout w:type="fixed"/>
        <w:tblLook w:val="04A0" w:firstRow="1" w:lastRow="0" w:firstColumn="1" w:lastColumn="0" w:noHBand="0" w:noVBand="1"/>
      </w:tblPr>
      <w:tblGrid>
        <w:gridCol w:w="9435"/>
      </w:tblGrid>
      <w:tr w:rsidR="00D22B62" w:rsidTr="3A0BE990" w14:paraId="280C5B8C" w14:textId="77777777">
        <w:trPr>
          <w:trHeight w:val="397"/>
        </w:trPr>
        <w:tc>
          <w:tcPr>
            <w:tcW w:w="94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22B62" w:rsidRDefault="00850FD7" w14:paraId="7181FA0A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  <w:t>Literatura podstawowa:</w:t>
            </w:r>
          </w:p>
          <w:p w:rsidR="00D22B62" w:rsidRDefault="00D22B62" w14:paraId="22623776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D22B62" w:rsidRDefault="00850FD7" w14:paraId="2CF67E03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A. Duda,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Konsumpcja. Teorie i badania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Lublin 2016.</w:t>
            </w:r>
          </w:p>
          <w:p w:rsidR="00D22B62" w:rsidRDefault="00850FD7" w14:paraId="074D1242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Bylok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Konsumpcja, konsument i społeczeństwo konsumpcyjne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Katowice 2013.</w:t>
            </w:r>
          </w:p>
          <w:p w:rsidR="00D22B62" w:rsidRDefault="00850FD7" w14:paraId="32C2274C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Drescher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Blockchain</w:t>
            </w:r>
            <w:proofErr w:type="spellEnd"/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. Podstawy technologii łańcucha bloków w 25 krokach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2018 Gliwice.</w:t>
            </w:r>
          </w:p>
          <w:p w:rsidR="00D22B62" w:rsidRDefault="00850FD7" w14:paraId="5D6A66B9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L. Rudnicki,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Zachowania konsumentów na rynku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2012.</w:t>
            </w:r>
          </w:p>
          <w:p w:rsidR="00D22B62" w:rsidRDefault="00850FD7" w14:paraId="55F3B86C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Wróbel,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Konsumpcja odpowiedzialna – wyzwanie dla zarządzania rozwojem,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Warszawa 2017.</w:t>
            </w:r>
          </w:p>
          <w:p w:rsidR="00D22B62" w:rsidRDefault="00850FD7" w14:paraId="01F6F2B0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A. M. Zawadzka, M. Górnik-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Durose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(red.),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Życie w konsumpcji, konsumpcja w życiu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2011.</w:t>
            </w:r>
          </w:p>
          <w:p w:rsidR="00D22B62" w:rsidRDefault="00850FD7" w14:paraId="79C8E92E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Jaciow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R. Wolny,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Polski e-konsument - typologia, zachowania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2011 Gliwice.</w:t>
            </w:r>
          </w:p>
          <w:p w:rsidR="00D22B62" w:rsidRDefault="00850FD7" w14:paraId="2BA6801A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A. Falkowski, T. Tyszka,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Psychologia zachowań konsumenckich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2009.</w:t>
            </w:r>
          </w:p>
          <w:p w:rsidR="00D22B62" w:rsidRDefault="00850FD7" w14:paraId="2D8D2FB3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Lindstrom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Zakupologia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Kraków 2009.</w:t>
            </w:r>
          </w:p>
          <w:p w:rsidR="00D22B62" w:rsidRDefault="00850FD7" w14:paraId="1C6BC018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Vitale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Jak wprowadzić klienta w trans kupowania: nowa psychologia sprzedaży i marketingu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Gliwice 2008.</w:t>
            </w:r>
          </w:p>
          <w:p w:rsidR="00D22B62" w:rsidRDefault="00850FD7" w14:paraId="6CB518EE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W. Fred van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Raaij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Gerrit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Antonides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Zachowanie konsumenta. Podręcznik akademicki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PWN, Warszawa 2003.</w:t>
            </w:r>
          </w:p>
          <w:p w:rsidR="00D22B62" w:rsidRDefault="00850FD7" w14:paraId="7A8A55D9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D. Doliński,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Psychologiczne mechanizmy reklamy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2003,</w:t>
            </w:r>
          </w:p>
        </w:tc>
      </w:tr>
      <w:tr w:rsidR="00D22B62" w:rsidTr="3A0BE990" w14:paraId="5947EB0B" w14:textId="77777777">
        <w:trPr>
          <w:trHeight w:val="397"/>
        </w:trPr>
        <w:tc>
          <w:tcPr>
            <w:tcW w:w="94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22B62" w:rsidRDefault="00850FD7" w14:paraId="7D20CB1E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22B62" w:rsidRDefault="00D22B62" w14:paraId="6E1D461E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D22B62" w:rsidRDefault="00850FD7" w14:paraId="7417CF6D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T. Zalega,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Konsumpcja. Determinanty, teorie, modele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2009.</w:t>
            </w:r>
          </w:p>
          <w:p w:rsidR="00D22B62" w:rsidRDefault="00850FD7" w14:paraId="507D8368" w14:textId="77777777">
            <w:pPr>
              <w:widowControl w:val="0"/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Underhill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Dlaczego kupujemy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2007.</w:t>
            </w:r>
          </w:p>
          <w:p w:rsidR="00D22B62" w:rsidRDefault="00850FD7" w14:paraId="7A26FB87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Aldridge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Konsumpcja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2006.</w:t>
            </w:r>
          </w:p>
          <w:p w:rsidR="00D22B62" w:rsidRDefault="00850FD7" w14:paraId="448C6693" w14:textId="77777777">
            <w:pPr>
              <w:widowControl w:val="0"/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D. Maison, </w:t>
            </w:r>
            <w:r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Utajone postawy konsumenckie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2004.</w:t>
            </w:r>
          </w:p>
        </w:tc>
      </w:tr>
    </w:tbl>
    <w:p w:rsidR="00D22B62" w:rsidRDefault="00D22B62" w14:paraId="3710F670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00D22B62" w:rsidRDefault="00D22B62" w14:paraId="20CB00AE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="00D22B62" w:rsidRDefault="00850FD7" w14:paraId="26E5CC75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D22B62" w:rsidRDefault="00D22B62" w14:paraId="58E175A6" w14:textId="77777777"/>
    <w:sectPr w:rsidR="00D22B62">
      <w:pgSz w:w="11906" w:h="16838" w:orient="portrait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601" w:rsidRDefault="005B7601" w14:paraId="4B5129F3" w14:textId="77777777">
      <w:pPr>
        <w:spacing w:after="0" w:line="240" w:lineRule="auto"/>
      </w:pPr>
      <w:r>
        <w:separator/>
      </w:r>
    </w:p>
  </w:endnote>
  <w:endnote w:type="continuationSeparator" w:id="0">
    <w:p w:rsidR="005B7601" w:rsidRDefault="005B7601" w14:paraId="708EBB4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601" w:rsidRDefault="005B7601" w14:paraId="65DDFE90" w14:textId="77777777">
      <w:pPr>
        <w:rPr>
          <w:sz w:val="12"/>
        </w:rPr>
      </w:pPr>
      <w:r>
        <w:separator/>
      </w:r>
    </w:p>
  </w:footnote>
  <w:footnote w:type="continuationSeparator" w:id="0">
    <w:p w:rsidR="005B7601" w:rsidRDefault="005B7601" w14:paraId="793E99D9" w14:textId="77777777">
      <w:pPr>
        <w:rPr>
          <w:sz w:val="12"/>
        </w:rPr>
      </w:pPr>
      <w:r>
        <w:continuationSeparator/>
      </w:r>
    </w:p>
  </w:footnote>
  <w:footnote w:id="1">
    <w:p w:rsidR="00D22B62" w:rsidRDefault="00850FD7" w14:paraId="7E7EC329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70DE0"/>
    <w:multiLevelType w:val="multilevel"/>
    <w:tmpl w:val="0AE67A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E455DA"/>
    <w:multiLevelType w:val="multilevel"/>
    <w:tmpl w:val="C9926FB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62"/>
    <w:rsid w:val="00145309"/>
    <w:rsid w:val="005B7601"/>
    <w:rsid w:val="00850FD7"/>
    <w:rsid w:val="00CA715A"/>
    <w:rsid w:val="00D156DD"/>
    <w:rsid w:val="00D22B62"/>
    <w:rsid w:val="00E25066"/>
    <w:rsid w:val="06D0D43E"/>
    <w:rsid w:val="1648AC06"/>
    <w:rsid w:val="18548E19"/>
    <w:rsid w:val="18A4B7A1"/>
    <w:rsid w:val="1AF25F5F"/>
    <w:rsid w:val="1AF25F5F"/>
    <w:rsid w:val="302447A5"/>
    <w:rsid w:val="3A0BE990"/>
    <w:rsid w:val="552FB0EA"/>
    <w:rsid w:val="70E3395E"/>
    <w:rsid w:val="722720AA"/>
    <w:rsid w:val="735EA3FC"/>
    <w:rsid w:val="78B3D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BC68"/>
  <w15:docId w15:val="{5646676F-8B6E-4081-86FB-914E3A8333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2C7A2C"/>
    <w:pPr>
      <w:spacing w:after="160" w:line="259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hAnsi="Calibri" w:eastAsia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C49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FC6C49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FC6C49"/>
    <w:rPr>
      <w:b/>
      <w:bCs/>
      <w:sz w:val="20"/>
      <w:szCs w:val="20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qFormat/>
    <w:rsid w:val="00FC6C49"/>
    <w:rPr>
      <w:rFonts w:ascii="Segoe UI" w:hAnsi="Segoe UI" w:cs="Segoe UI"/>
      <w:sz w:val="18"/>
      <w:szCs w:val="18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0339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6C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C4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dc:description/>
  <lastModifiedBy>Anna Pikus</lastModifiedBy>
  <revision>14</revision>
  <dcterms:created xsi:type="dcterms:W3CDTF">2020-10-26T16:35:00.0000000Z</dcterms:created>
  <dcterms:modified xsi:type="dcterms:W3CDTF">2024-07-30T08:18:22.9217669Z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