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134" w:rsidRDefault="001D4FBF" w:rsidP="003D65CD">
      <w:pPr>
        <w:pStyle w:val="Bezodstpw"/>
      </w:pPr>
      <w:r>
        <w:t xml:space="preserve">                                                                          </w:t>
      </w:r>
      <w:r w:rsidR="00F93134" w:rsidRPr="00F93134">
        <w:t>Załącznik nr 1.5 do Zarządzenia Rektora UR  nr 7/2023</w:t>
      </w:r>
    </w:p>
    <w:p w:rsidR="001D4FBF" w:rsidRDefault="001D4FBF" w:rsidP="003D65CD">
      <w:pPr>
        <w:pStyle w:val="Bezodstpw"/>
      </w:pPr>
    </w:p>
    <w:p w:rsidR="001D4FBF" w:rsidRPr="00F93134" w:rsidRDefault="001D4FBF" w:rsidP="003D65CD">
      <w:pPr>
        <w:pStyle w:val="Bezodstpw"/>
      </w:pPr>
    </w:p>
    <w:p w:rsidR="00F93134" w:rsidRPr="00F93134" w:rsidRDefault="00F93134" w:rsidP="00F9313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F93134" w:rsidRPr="00F93134" w:rsidRDefault="00F93134" w:rsidP="00F93134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F93134">
        <w:rPr>
          <w:rFonts w:ascii="Corbel" w:eastAsia="Calibri" w:hAnsi="Corbel" w:cs="Times New Roman"/>
          <w:b/>
          <w:i/>
          <w:smallCaps/>
          <w:sz w:val="24"/>
          <w:szCs w:val="24"/>
        </w:rPr>
        <w:t>2024-2027</w:t>
      </w:r>
      <w:r w:rsidRPr="00F9313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9313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F93134">
        <w:rPr>
          <w:rFonts w:ascii="Corbel" w:eastAsia="Calibri" w:hAnsi="Corbel" w:cs="Times New Roman"/>
          <w:sz w:val="20"/>
          <w:szCs w:val="20"/>
        </w:rPr>
        <w:t>)</w:t>
      </w:r>
    </w:p>
    <w:p w:rsidR="00F93134" w:rsidRPr="00F93134" w:rsidRDefault="00F93134" w:rsidP="00F9313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F93134">
        <w:rPr>
          <w:rFonts w:ascii="Corbel" w:eastAsia="Calibri" w:hAnsi="Corbel" w:cs="Times New Roman"/>
          <w:sz w:val="20"/>
          <w:szCs w:val="20"/>
        </w:rPr>
        <w:tab/>
      </w:r>
      <w:r w:rsidRPr="00F93134">
        <w:rPr>
          <w:rFonts w:ascii="Corbel" w:eastAsia="Calibri" w:hAnsi="Corbel" w:cs="Times New Roman"/>
          <w:sz w:val="20"/>
          <w:szCs w:val="20"/>
        </w:rPr>
        <w:tab/>
      </w:r>
      <w:r w:rsidRPr="00F93134">
        <w:rPr>
          <w:rFonts w:ascii="Corbel" w:eastAsia="Calibri" w:hAnsi="Corbel" w:cs="Times New Roman"/>
          <w:sz w:val="20"/>
          <w:szCs w:val="20"/>
        </w:rPr>
        <w:tab/>
      </w:r>
      <w:r w:rsidRPr="00F93134">
        <w:rPr>
          <w:rFonts w:ascii="Corbel" w:eastAsia="Calibri" w:hAnsi="Corbel" w:cs="Times New Roman"/>
          <w:sz w:val="20"/>
          <w:szCs w:val="20"/>
        </w:rPr>
        <w:tab/>
      </w:r>
      <w:r w:rsidRPr="00F93134">
        <w:rPr>
          <w:rFonts w:ascii="Corbel" w:eastAsia="Calibri" w:hAnsi="Corbel" w:cs="Times New Roman"/>
          <w:b/>
          <w:sz w:val="20"/>
          <w:szCs w:val="20"/>
        </w:rPr>
        <w:t>Rok akademicki  202</w:t>
      </w:r>
      <w:r w:rsidR="001D4FBF">
        <w:rPr>
          <w:rFonts w:ascii="Corbel" w:eastAsia="Calibri" w:hAnsi="Corbel" w:cs="Times New Roman"/>
          <w:b/>
          <w:sz w:val="20"/>
          <w:szCs w:val="20"/>
        </w:rPr>
        <w:t>5</w:t>
      </w:r>
      <w:r w:rsidRPr="00F93134">
        <w:rPr>
          <w:rFonts w:ascii="Corbel" w:eastAsia="Calibri" w:hAnsi="Corbel" w:cs="Times New Roman"/>
          <w:b/>
          <w:sz w:val="20"/>
          <w:szCs w:val="20"/>
        </w:rPr>
        <w:t>/202</w:t>
      </w:r>
      <w:r w:rsidR="001D4FBF">
        <w:rPr>
          <w:rFonts w:ascii="Corbel" w:eastAsia="Calibri" w:hAnsi="Corbel" w:cs="Times New Roman"/>
          <w:b/>
          <w:sz w:val="20"/>
          <w:szCs w:val="20"/>
        </w:rPr>
        <w:t>6</w:t>
      </w:r>
      <w:bookmarkStart w:id="0" w:name="_GoBack"/>
      <w:bookmarkEnd w:id="0"/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Ochrona i promocja zdrowia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Arial"/>
                <w:bCs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Nauki o rodzinie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praktyczny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3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Przedmioty kierunkowe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1E7196" w:rsidP="00F93134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Dr </w:t>
            </w:r>
            <w:r w:rsidR="003D65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n. med. i n. o zdrowiu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Dominika Uberman-Kluz</w:t>
            </w:r>
          </w:p>
        </w:tc>
      </w:tr>
      <w:tr w:rsidR="00F93134" w:rsidRPr="00F93134" w:rsidTr="00F931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F93134" w:rsidP="00F93134">
            <w:pPr>
              <w:spacing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F93134" w:rsidRPr="00F93134" w:rsidRDefault="00F93134" w:rsidP="00F9313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9313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F9313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F9313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F9313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F9313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F9313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F93134" w:rsidRPr="00F93134" w:rsidRDefault="00F93134" w:rsidP="00F9313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F93134" w:rsidRPr="00F93134" w:rsidRDefault="00F93134" w:rsidP="00F9313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9313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F93134" w:rsidRPr="00F93134" w:rsidRDefault="00F93134" w:rsidP="00F9313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93134" w:rsidRPr="00F93134" w:rsidTr="00F931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F93134" w:rsidRPr="00F93134" w:rsidTr="00F931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line="256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C01E03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 xml:space="preserve">1   </w:t>
            </w:r>
          </w:p>
        </w:tc>
      </w:tr>
    </w:tbl>
    <w:p w:rsidR="00F93134" w:rsidRPr="00F93134" w:rsidRDefault="00F93134" w:rsidP="00F9313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24"/>
          <w:szCs w:val="24"/>
        </w:rPr>
      </w:pPr>
    </w:p>
    <w:p w:rsidR="00F93134" w:rsidRPr="00F93134" w:rsidRDefault="00F93134" w:rsidP="00F9313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sz w:val="24"/>
          <w:szCs w:val="24"/>
        </w:rPr>
      </w:pPr>
    </w:p>
    <w:p w:rsidR="00F93134" w:rsidRPr="00F93134" w:rsidRDefault="00F93134" w:rsidP="00F9313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>1.2.</w:t>
      </w: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Sposób realizacji zajęć  </w:t>
      </w:r>
    </w:p>
    <w:p w:rsidR="00F93134" w:rsidRPr="00F93134" w:rsidRDefault="00F93134" w:rsidP="00F93134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F93134">
        <w:rPr>
          <w:rFonts w:ascii="MS Gothic" w:eastAsia="MS Gothic" w:hAnsi="MS Gothic" w:cs="MS Gothic" w:hint="eastAsia"/>
          <w:smallCaps/>
          <w:sz w:val="24"/>
          <w:szCs w:val="24"/>
          <w:u w:val="single"/>
          <w:lang w:val="en-US"/>
        </w:rPr>
        <w:t>☐</w:t>
      </w:r>
      <w:r w:rsidRPr="00F93134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 zajęcia w formie tradycyjnej </w:t>
      </w:r>
    </w:p>
    <w:p w:rsidR="00F93134" w:rsidRPr="00F93134" w:rsidRDefault="00F93134" w:rsidP="00F93134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</w:rPr>
      </w:pPr>
      <w:r w:rsidRPr="00F93134">
        <w:rPr>
          <w:rFonts w:ascii="MS Gothic" w:eastAsia="MS Gothic" w:hAnsi="MS Gothic" w:cs="MS Gothic" w:hint="eastAsia"/>
          <w:smallCaps/>
          <w:sz w:val="24"/>
          <w:szCs w:val="24"/>
          <w:lang w:val="en-US"/>
        </w:rPr>
        <w:t>☐</w:t>
      </w:r>
      <w:r w:rsidRPr="00F93134">
        <w:rPr>
          <w:rFonts w:ascii="Corbel" w:eastAsia="Calibri" w:hAnsi="Corbel" w:cs="Times New Roman"/>
          <w:smallCaps/>
          <w:sz w:val="24"/>
          <w:szCs w:val="24"/>
        </w:rPr>
        <w:t xml:space="preserve"> zajęcia realizowane z wykorzystaniem metod i technik kształcenia na odległość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F93134" w:rsidRPr="00F93134" w:rsidRDefault="00F93134" w:rsidP="00F9313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 xml:space="preserve">1.3 </w:t>
      </w: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Forma zaliczenia przedmiotu  (z toku) </w:t>
      </w:r>
      <w:r w:rsidRPr="00F93134">
        <w:rPr>
          <w:rFonts w:ascii="Corbel" w:eastAsia="Calibri" w:hAnsi="Corbel" w:cs="Times New Roman"/>
          <w:smallCaps/>
          <w:sz w:val="24"/>
          <w:szCs w:val="24"/>
        </w:rPr>
        <w:t xml:space="preserve">(egzamin, </w:t>
      </w:r>
      <w:r w:rsidRPr="003D65CD">
        <w:rPr>
          <w:rFonts w:ascii="Corbel" w:eastAsia="Calibri" w:hAnsi="Corbel" w:cs="Times New Roman"/>
          <w:smallCaps/>
          <w:sz w:val="24"/>
          <w:szCs w:val="24"/>
          <w:u w:val="single"/>
        </w:rPr>
        <w:t>zaliczenie z oceną</w:t>
      </w:r>
      <w:r w:rsidRPr="00F93134">
        <w:rPr>
          <w:rFonts w:ascii="Corbel" w:eastAsia="Calibri" w:hAnsi="Corbel" w:cs="Times New Roman"/>
          <w:smallCaps/>
          <w:sz w:val="24"/>
          <w:szCs w:val="24"/>
        </w:rPr>
        <w:t>, zaliczenie bez oceny)</w:t>
      </w:r>
    </w:p>
    <w:p w:rsidR="00F93134" w:rsidRPr="00140B04" w:rsidRDefault="00F93134" w:rsidP="00140B04">
      <w:pPr>
        <w:pStyle w:val="Nagwek3"/>
        <w:rPr>
          <w:rFonts w:ascii="Corbel" w:eastAsia="Calibri" w:hAnsi="Corbel"/>
          <w:color w:val="000000" w:themeColor="text1"/>
        </w:rPr>
      </w:pPr>
      <w:r w:rsidRPr="00140B04">
        <w:rPr>
          <w:rFonts w:ascii="Corbel" w:eastAsia="Calibri" w:hAnsi="Corbel"/>
          <w:color w:val="000000" w:themeColor="text1"/>
        </w:rPr>
        <w:t>Zaliczenie z oceną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504F06" w:rsidRPr="00504F06" w:rsidRDefault="00504F06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3134" w:rsidRPr="00F93134" w:rsidTr="00F9313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751EDA" w:rsidRDefault="00751EDA" w:rsidP="00751EDA">
            <w:pPr>
              <w:pStyle w:val="Nagwek2"/>
              <w:rPr>
                <w:rFonts w:ascii="Corbel" w:eastAsia="Calibri" w:hAnsi="Corbel"/>
                <w:b/>
                <w:sz w:val="24"/>
                <w:szCs w:val="24"/>
              </w:rPr>
            </w:pPr>
            <w:r w:rsidRPr="00751EDA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Brak wymagań wstępnych</w:t>
            </w:r>
          </w:p>
        </w:tc>
      </w:tr>
    </w:tbl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F93134" w:rsidRPr="00F93134" w:rsidRDefault="00F93134" w:rsidP="00F9313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9313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F93134" w:rsidRPr="00F93134" w:rsidRDefault="00F93134" w:rsidP="00F9313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F93134" w:rsidRPr="00F93134" w:rsidTr="00F9313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9C44E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Zapoznanie z podstawowymi pojęciami i koncepcjami dyscypliny oraz jej osiągnięciami badawczymi i praktycznymi.</w:t>
            </w:r>
          </w:p>
        </w:tc>
      </w:tr>
      <w:tr w:rsidR="00F93134" w:rsidRPr="00F93134" w:rsidTr="00F9313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9C44E4" w:rsidP="009C44E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Wyposażenie w wiedzę i umiejętności interpretowania zjawisk zdrowotnych oraz refleksyjnego myślenia</w:t>
            </w:r>
            <w:r w:rsidR="00504F06">
              <w:rPr>
                <w:rFonts w:ascii="Corbel" w:eastAsia="Times New Roman" w:hAnsi="Corbel" w:cs="Times New Roman"/>
                <w:sz w:val="24"/>
                <w:szCs w:val="24"/>
              </w:rPr>
              <w:t xml:space="preserve"> o problemach zdrowia i choroby, diagnozy i interwencji na rzecz promocji zdrowia, jego ochrony.</w:t>
            </w:r>
          </w:p>
        </w:tc>
      </w:tr>
      <w:tr w:rsidR="00F93134" w:rsidRPr="00F93134" w:rsidTr="00F9313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93134">
              <w:rPr>
                <w:rFonts w:ascii="Corbel" w:eastAsia="Times New Roman" w:hAnsi="Corbel" w:cs="Times New Roman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34" w:rsidRPr="00F93134" w:rsidRDefault="00504F06" w:rsidP="00F931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Rozwijanie zainteresowań w zakresie nowoczesnego rozwiązywania problemów zdrowotnych osób, grup, instytucji.</w:t>
            </w:r>
          </w:p>
        </w:tc>
      </w:tr>
    </w:tbl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color w:val="000000"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9313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F9313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6"/>
        <w:gridCol w:w="1838"/>
      </w:tblGrid>
      <w:tr w:rsidR="00F93134" w:rsidRPr="00F93134" w:rsidTr="00F9313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>EK</w:t>
            </w: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Odniesienie do efektów  kierunkowych </w:t>
            </w: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93134" w:rsidRPr="00F93134" w:rsidTr="00F9313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BF742D" w:rsidP="003E050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sz w:val="24"/>
              </w:rPr>
              <w:t xml:space="preserve">Przedstawi </w:t>
            </w:r>
            <w:r w:rsidRPr="00BF742D">
              <w:rPr>
                <w:b/>
                <w:sz w:val="24"/>
              </w:rPr>
              <w:t>w zaawansowanym stopniu</w:t>
            </w:r>
            <w:r w:rsidR="00B14FD6" w:rsidRPr="00FE7622">
              <w:rPr>
                <w:sz w:val="24"/>
              </w:rPr>
              <w:t xml:space="preserve"> podmiotowe</w:t>
            </w:r>
            <w:r w:rsidR="00B14FD6" w:rsidRPr="00FE7622">
              <w:rPr>
                <w:spacing w:val="-12"/>
                <w:sz w:val="24"/>
              </w:rPr>
              <w:t xml:space="preserve"> </w:t>
            </w:r>
            <w:r w:rsidR="00B14FD6" w:rsidRPr="00FE7622">
              <w:rPr>
                <w:sz w:val="24"/>
              </w:rPr>
              <w:t>i</w:t>
            </w:r>
            <w:r w:rsidR="00B14FD6" w:rsidRPr="00FE7622">
              <w:rPr>
                <w:spacing w:val="-12"/>
                <w:sz w:val="24"/>
              </w:rPr>
              <w:t xml:space="preserve"> </w:t>
            </w:r>
            <w:r w:rsidR="00B14FD6" w:rsidRPr="00FE7622">
              <w:rPr>
                <w:sz w:val="24"/>
              </w:rPr>
              <w:t>metodologiczne</w:t>
            </w:r>
            <w:r w:rsidR="00B14FD6" w:rsidRPr="00FE7622">
              <w:rPr>
                <w:spacing w:val="-12"/>
                <w:sz w:val="24"/>
              </w:rPr>
              <w:t xml:space="preserve"> </w:t>
            </w:r>
            <w:r w:rsidR="00B14FD6" w:rsidRPr="00FE7622">
              <w:rPr>
                <w:sz w:val="24"/>
              </w:rPr>
              <w:t>powiązania wiedzy z zakresu nauk o rodzinie z psychologią</w:t>
            </w:r>
            <w:r w:rsidR="00B14FD6">
              <w:rPr>
                <w:sz w:val="24"/>
              </w:rPr>
              <w:t xml:space="preserve"> zdrowia</w:t>
            </w:r>
            <w:r w:rsidR="003E0505">
              <w:rPr>
                <w:sz w:val="24"/>
              </w:rPr>
              <w:t xml:space="preserve"> </w:t>
            </w:r>
            <w:r w:rsidR="0012799E">
              <w:rPr>
                <w:sz w:val="24"/>
              </w:rPr>
              <w:t xml:space="preserve">i nauk </w:t>
            </w:r>
            <w:r w:rsidR="003E0505">
              <w:rPr>
                <w:sz w:val="24"/>
              </w:rPr>
              <w:t>pokrewnych.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K_W02</w:t>
            </w:r>
          </w:p>
        </w:tc>
      </w:tr>
      <w:tr w:rsidR="00F93134" w:rsidRPr="00F93134" w:rsidTr="00F9313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BF742D" w:rsidP="003E050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sz w:val="24"/>
              </w:rPr>
              <w:t>Scharakteryzuje</w:t>
            </w:r>
            <w:r w:rsidR="00B14FD6" w:rsidRPr="00FE7622">
              <w:rPr>
                <w:sz w:val="24"/>
              </w:rPr>
              <w:t xml:space="preserve"> biologiczne i zdro</w:t>
            </w:r>
            <w:r w:rsidR="0012799E">
              <w:rPr>
                <w:sz w:val="24"/>
              </w:rPr>
              <w:t xml:space="preserve">wotne aspekty rozwoju człowieka, </w:t>
            </w:r>
            <w:r w:rsidR="00FC1C7C">
              <w:rPr>
                <w:sz w:val="24"/>
              </w:rPr>
              <w:t xml:space="preserve">koncepcje i pojęcie zdrowia w </w:t>
            </w:r>
            <w:r w:rsidR="003E0505">
              <w:rPr>
                <w:sz w:val="24"/>
              </w:rPr>
              <w:t xml:space="preserve">psychologii zdrowia </w:t>
            </w:r>
            <w:r w:rsidR="00FC1C7C">
              <w:rPr>
                <w:sz w:val="24"/>
              </w:rPr>
              <w:t>i naukach pokrewnych.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K_W04</w:t>
            </w:r>
          </w:p>
        </w:tc>
      </w:tr>
      <w:tr w:rsidR="00F93134" w:rsidRPr="00F93134" w:rsidTr="00F9313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F94ADA" w:rsidP="009518C9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sz w:val="24"/>
              </w:rPr>
              <w:t>Dokona</w:t>
            </w:r>
            <w:r w:rsidR="0012799E" w:rsidRPr="00FE7622">
              <w:rPr>
                <w:spacing w:val="80"/>
                <w:w w:val="150"/>
                <w:sz w:val="24"/>
              </w:rPr>
              <w:t xml:space="preserve"> </w:t>
            </w:r>
            <w:r w:rsidR="0012799E" w:rsidRPr="00FE7622">
              <w:rPr>
                <w:sz w:val="24"/>
              </w:rPr>
              <w:t>analizy</w:t>
            </w:r>
            <w:r w:rsidR="0012799E" w:rsidRPr="00FE7622">
              <w:rPr>
                <w:spacing w:val="80"/>
                <w:w w:val="150"/>
                <w:sz w:val="24"/>
              </w:rPr>
              <w:t xml:space="preserve"> </w:t>
            </w:r>
            <w:r w:rsidR="0012799E" w:rsidRPr="00FE7622">
              <w:rPr>
                <w:sz w:val="24"/>
              </w:rPr>
              <w:t>i</w:t>
            </w:r>
            <w:r w:rsidR="0012799E" w:rsidRPr="00FE7622">
              <w:rPr>
                <w:spacing w:val="80"/>
                <w:w w:val="150"/>
                <w:sz w:val="24"/>
              </w:rPr>
              <w:t xml:space="preserve"> </w:t>
            </w:r>
            <w:r w:rsidR="0012799E" w:rsidRPr="00FE7622">
              <w:rPr>
                <w:sz w:val="24"/>
              </w:rPr>
              <w:t>selekcji</w:t>
            </w:r>
            <w:r w:rsidR="0012799E" w:rsidRPr="00FE7622">
              <w:rPr>
                <w:spacing w:val="80"/>
                <w:w w:val="150"/>
                <w:sz w:val="24"/>
              </w:rPr>
              <w:t xml:space="preserve"> </w:t>
            </w:r>
            <w:r w:rsidR="0012799E" w:rsidRPr="00FE7622">
              <w:rPr>
                <w:sz w:val="24"/>
              </w:rPr>
              <w:t>informacji</w:t>
            </w:r>
            <w:r w:rsidR="0012799E" w:rsidRPr="00FE7622">
              <w:rPr>
                <w:spacing w:val="40"/>
                <w:sz w:val="24"/>
              </w:rPr>
              <w:t xml:space="preserve"> </w:t>
            </w:r>
            <w:r w:rsidR="0012799E">
              <w:rPr>
                <w:spacing w:val="40"/>
                <w:sz w:val="24"/>
              </w:rPr>
              <w:br/>
            </w:r>
            <w:r w:rsidR="0012799E" w:rsidRPr="00FE7622">
              <w:rPr>
                <w:sz w:val="24"/>
              </w:rPr>
              <w:t>(z wykorzystaniem różnorodnych źródeł) związanych z biologicznym rozwojem jednostki</w:t>
            </w:r>
            <w:r w:rsidR="009518C9">
              <w:rPr>
                <w:sz w:val="24"/>
              </w:rPr>
              <w:t>, psychologicznej diagnozy zdrowia i choroby oraz kontekstu zdrowia</w:t>
            </w:r>
            <w:r w:rsidR="000C6B1C">
              <w:rPr>
                <w:sz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K_U01</w:t>
            </w:r>
          </w:p>
        </w:tc>
      </w:tr>
      <w:tr w:rsidR="001E7196" w:rsidRPr="00F93134" w:rsidTr="00F9313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F93134" w:rsidRDefault="00BF742D" w:rsidP="00BF742D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sz w:val="24"/>
              </w:rPr>
              <w:t xml:space="preserve">Oceni </w:t>
            </w:r>
            <w:r w:rsidR="0012799E" w:rsidRPr="00FE7622">
              <w:rPr>
                <w:sz w:val="24"/>
              </w:rPr>
              <w:t>przydatność</w:t>
            </w:r>
            <w:r w:rsidR="0012799E" w:rsidRPr="00FE7622">
              <w:rPr>
                <w:spacing w:val="-4"/>
                <w:sz w:val="24"/>
              </w:rPr>
              <w:t xml:space="preserve"> </w:t>
            </w:r>
            <w:r w:rsidR="0012799E" w:rsidRPr="00FE7622">
              <w:rPr>
                <w:sz w:val="24"/>
              </w:rPr>
              <w:t>różnych</w:t>
            </w:r>
            <w:r w:rsidR="0012799E" w:rsidRPr="00FE7622">
              <w:rPr>
                <w:spacing w:val="-4"/>
                <w:sz w:val="24"/>
              </w:rPr>
              <w:t xml:space="preserve"> </w:t>
            </w:r>
            <w:r w:rsidR="0012799E" w:rsidRPr="00FE7622">
              <w:rPr>
                <w:sz w:val="24"/>
              </w:rPr>
              <w:t>metod,</w:t>
            </w:r>
            <w:r w:rsidR="0012799E" w:rsidRPr="00FE7622">
              <w:rPr>
                <w:spacing w:val="-5"/>
                <w:sz w:val="24"/>
              </w:rPr>
              <w:t xml:space="preserve"> </w:t>
            </w:r>
            <w:r w:rsidR="0012799E" w:rsidRPr="00FE7622">
              <w:rPr>
                <w:sz w:val="24"/>
              </w:rPr>
              <w:t>procedur,</w:t>
            </w:r>
            <w:r w:rsidR="0012799E" w:rsidRPr="00FE7622">
              <w:rPr>
                <w:spacing w:val="-5"/>
                <w:sz w:val="24"/>
              </w:rPr>
              <w:t xml:space="preserve"> </w:t>
            </w:r>
            <w:r w:rsidR="0012799E" w:rsidRPr="00FE7622">
              <w:rPr>
                <w:sz w:val="24"/>
              </w:rPr>
              <w:t xml:space="preserve">dobrych praktyk </w:t>
            </w:r>
            <w:r w:rsidR="00375DD1">
              <w:rPr>
                <w:sz w:val="24"/>
              </w:rPr>
              <w:t>diagnozy i interwencji na rzecz promocji zdrowia i jego ochrony.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K_U09</w:t>
            </w:r>
          </w:p>
        </w:tc>
      </w:tr>
      <w:tr w:rsidR="001E7196" w:rsidRPr="00F93134" w:rsidTr="00F9313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F93134" w:rsidRDefault="00BF742D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spacing w:val="-2"/>
                <w:sz w:val="24"/>
              </w:rPr>
              <w:t>Podejmie</w:t>
            </w:r>
            <w:r w:rsidR="00FC1C7C" w:rsidRPr="00FE7622">
              <w:rPr>
                <w:spacing w:val="-2"/>
                <w:sz w:val="24"/>
              </w:rPr>
              <w:t xml:space="preserve"> indywidualne </w:t>
            </w:r>
            <w:r w:rsidR="00FC1C7C" w:rsidRPr="00FE7622">
              <w:rPr>
                <w:spacing w:val="-10"/>
                <w:sz w:val="24"/>
              </w:rPr>
              <w:t xml:space="preserve">i </w:t>
            </w:r>
            <w:r w:rsidR="00FC1C7C" w:rsidRPr="00FE7622">
              <w:rPr>
                <w:spacing w:val="-2"/>
                <w:sz w:val="24"/>
              </w:rPr>
              <w:t>zespołowe</w:t>
            </w:r>
            <w:r w:rsidR="00FC1C7C" w:rsidRPr="00FE7622">
              <w:rPr>
                <w:sz w:val="24"/>
              </w:rPr>
              <w:t xml:space="preserve"> </w:t>
            </w:r>
            <w:r w:rsidR="00FC1C7C" w:rsidRPr="00FE7622">
              <w:rPr>
                <w:spacing w:val="-2"/>
                <w:sz w:val="24"/>
              </w:rPr>
              <w:t>działania</w:t>
            </w:r>
            <w:r w:rsidR="00FC1C7C" w:rsidRPr="00FE7622">
              <w:rPr>
                <w:sz w:val="24"/>
              </w:rPr>
              <w:t xml:space="preserve"> pomocowe</w:t>
            </w:r>
            <w:r w:rsidR="00FC1C7C" w:rsidRPr="00FE7622">
              <w:rPr>
                <w:spacing w:val="-3"/>
                <w:sz w:val="24"/>
              </w:rPr>
              <w:t xml:space="preserve"> </w:t>
            </w:r>
            <w:r w:rsidR="00FC1C7C" w:rsidRPr="00FE7622">
              <w:rPr>
                <w:sz w:val="24"/>
              </w:rPr>
              <w:t>w</w:t>
            </w:r>
            <w:r w:rsidR="00FC1C7C" w:rsidRPr="00FE7622">
              <w:rPr>
                <w:spacing w:val="-4"/>
                <w:sz w:val="24"/>
              </w:rPr>
              <w:t xml:space="preserve"> </w:t>
            </w:r>
            <w:r w:rsidR="00FC1C7C" w:rsidRPr="00FE7622">
              <w:rPr>
                <w:sz w:val="24"/>
              </w:rPr>
              <w:t>środowisku</w:t>
            </w:r>
            <w:r w:rsidR="00FC1C7C" w:rsidRPr="00FE7622">
              <w:rPr>
                <w:spacing w:val="-2"/>
                <w:sz w:val="24"/>
              </w:rPr>
              <w:t xml:space="preserve"> </w:t>
            </w:r>
            <w:r w:rsidR="00FC1C7C" w:rsidRPr="00FE7622">
              <w:rPr>
                <w:sz w:val="24"/>
              </w:rPr>
              <w:t>na</w:t>
            </w:r>
            <w:r w:rsidR="00FC1C7C" w:rsidRPr="00FE7622">
              <w:rPr>
                <w:spacing w:val="-3"/>
                <w:sz w:val="24"/>
              </w:rPr>
              <w:t xml:space="preserve"> </w:t>
            </w:r>
            <w:r w:rsidR="00FC1C7C" w:rsidRPr="00FE7622">
              <w:rPr>
                <w:sz w:val="24"/>
              </w:rPr>
              <w:t>rzecz</w:t>
            </w:r>
            <w:r w:rsidR="00FC1C7C" w:rsidRPr="00FE7622">
              <w:rPr>
                <w:spacing w:val="-4"/>
                <w:sz w:val="24"/>
              </w:rPr>
              <w:t xml:space="preserve"> </w:t>
            </w:r>
            <w:r w:rsidR="00FC1C7C">
              <w:rPr>
                <w:spacing w:val="-2"/>
                <w:sz w:val="24"/>
              </w:rPr>
              <w:t>rodziny w psychologiczno-społecznym kontekście zdrowia i choroby.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K_K02</w:t>
            </w:r>
          </w:p>
        </w:tc>
      </w:tr>
    </w:tbl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9313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F93134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F93134" w:rsidRPr="00F93134" w:rsidRDefault="00F93134" w:rsidP="00F93134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:rsidR="00F93134" w:rsidRPr="00F93134" w:rsidRDefault="00F93134" w:rsidP="00F9313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9313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F93134" w:rsidP="00F93134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F93134" w:rsidP="00F93134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F93134" w:rsidP="00F93134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F93134" w:rsidP="00F93134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F93134" w:rsidP="00F93134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F93134" w:rsidRPr="00F93134" w:rsidRDefault="00F93134" w:rsidP="00F9313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9313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F93134" w:rsidRPr="00F93134" w:rsidRDefault="00F93134" w:rsidP="00F93134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F93134" w:rsidRPr="00F93134" w:rsidRDefault="00F93134" w:rsidP="00F93134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F93134" w:rsidRPr="00F93134" w:rsidRDefault="00F93134" w:rsidP="00F93134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F93134" w:rsidRPr="00F93134" w:rsidRDefault="00F93134" w:rsidP="00F9313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93134">
        <w:rPr>
          <w:rFonts w:ascii="Corbel" w:eastAsia="Calibri" w:hAnsi="Corbel" w:cs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5528C5" w:rsidP="00951C2B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Koncepcje i pojęcie zdrowia</w:t>
            </w:r>
            <w:r w:rsidR="00951C2B">
              <w:rPr>
                <w:rFonts w:ascii="Corbel" w:eastAsia="Calibri" w:hAnsi="Corbel" w:cs="Times New Roman"/>
                <w:sz w:val="24"/>
                <w:szCs w:val="24"/>
              </w:rPr>
              <w:t xml:space="preserve"> w psychologii i naukach pokrewnych. Modele i podejścia stosowane w psychologii zdrowia i naukach pokrewnych</w:t>
            </w: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5528C5" w:rsidP="00951C2B">
            <w:pPr>
              <w:tabs>
                <w:tab w:val="left" w:pos="390"/>
              </w:tabs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Model salutogenetyczny – podstawowe założenia, poczuc</w:t>
            </w:r>
            <w:r w:rsidR="007F6049">
              <w:rPr>
                <w:rFonts w:ascii="Corbel" w:eastAsia="Calibri" w:hAnsi="Corbel" w:cs="Times New Roman"/>
                <w:sz w:val="24"/>
                <w:szCs w:val="24"/>
              </w:rPr>
              <w:t>ie koherencji, przekonania zdrowotne i zachowania zdrowotne.</w:t>
            </w: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5528C5" w:rsidP="005528C5">
            <w:pPr>
              <w:tabs>
                <w:tab w:val="left" w:pos="390"/>
              </w:tabs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Behawioralne i poznawcze uwarunkowania zdrowia i choroby</w:t>
            </w:r>
            <w:r w:rsidR="007F6049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951C2B" w:rsidP="005528C5">
            <w:pPr>
              <w:tabs>
                <w:tab w:val="left" w:pos="390"/>
              </w:tabs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Modele społecznej psychologii poznawczej. </w:t>
            </w:r>
            <w:r w:rsidR="005528C5">
              <w:rPr>
                <w:rFonts w:ascii="Corbel" w:eastAsia="Calibri" w:hAnsi="Corbel" w:cs="Times New Roman"/>
                <w:sz w:val="24"/>
                <w:szCs w:val="24"/>
              </w:rPr>
              <w:t>Zachowania zdrowotne i zmiana zachowań</w:t>
            </w:r>
            <w:r w:rsidR="007F6049">
              <w:rPr>
                <w:rFonts w:ascii="Corbel" w:eastAsia="Calibri" w:hAnsi="Corbel" w:cs="Times New Roman"/>
                <w:sz w:val="24"/>
                <w:szCs w:val="24"/>
              </w:rPr>
              <w:t xml:space="preserve"> związanych ze zdrowiem.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Model przekonań zdrowotnych, modele fazowe, procesualny model działań zdrowotnych.</w:t>
            </w: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7F6049" w:rsidP="00F93134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Psychologiczno-społeczny kontekst zdrowia i choroby.</w:t>
            </w: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7F6049" w:rsidP="00F93134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Zachowanie wobec własnej choroby – emocje, choroba jako zadanie, różnice indywidualne.</w:t>
            </w:r>
            <w:r w:rsidR="009C44E4">
              <w:rPr>
                <w:rFonts w:ascii="Corbel" w:eastAsia="Calibri" w:hAnsi="Corbel" w:cs="Times New Roman"/>
                <w:sz w:val="24"/>
                <w:szCs w:val="24"/>
              </w:rPr>
              <w:t xml:space="preserve"> Emocjonalne i poznawcze ustosunkowanie się do choroby – obraz własnej choroby i jego komponenty.</w:t>
            </w:r>
          </w:p>
        </w:tc>
      </w:tr>
      <w:tr w:rsidR="00F93134" w:rsidRPr="00F93134" w:rsidTr="00F9313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7F6049" w:rsidRDefault="007F6049" w:rsidP="009C44E4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7F6049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Psychologiczna diagnoza zdrowia </w:t>
            </w:r>
            <w:r>
              <w:rPr>
                <w:rFonts w:ascii="Corbel" w:eastAsia="Calibri" w:hAnsi="Corbel" w:cs="Times New Roman"/>
                <w:bCs/>
                <w:sz w:val="24"/>
                <w:szCs w:val="24"/>
              </w:rPr>
              <w:t>i choroby, strategie i metody działań prewencyjnych.</w:t>
            </w:r>
            <w:r w:rsidR="00951C2B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ind w:left="426"/>
        <w:rPr>
          <w:rFonts w:ascii="Corbel" w:eastAsia="Calibri" w:hAnsi="Corbel" w:cs="Times New Roman"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>3.4 Metody dydaktyczne</w:t>
      </w:r>
      <w:r w:rsidRPr="00F93134">
        <w:rPr>
          <w:rFonts w:ascii="Corbel" w:eastAsia="Calibri" w:hAnsi="Corbel" w:cs="Times New Roman"/>
          <w:smallCaps/>
          <w:sz w:val="24"/>
          <w:szCs w:val="24"/>
        </w:rPr>
        <w:t xml:space="preserve"> 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</w:p>
    <w:p w:rsidR="00F93134" w:rsidRPr="00140B04" w:rsidRDefault="00F93134" w:rsidP="00140B04">
      <w:pPr>
        <w:pStyle w:val="Nagwek3"/>
        <w:rPr>
          <w:rFonts w:ascii="Corbel" w:eastAsia="Calibri" w:hAnsi="Corbel"/>
          <w:color w:val="000000" w:themeColor="text1"/>
        </w:rPr>
      </w:pPr>
      <w:r w:rsidRPr="00140B04">
        <w:rPr>
          <w:rFonts w:ascii="Corbel" w:eastAsia="Calibri" w:hAnsi="Corbel"/>
          <w:color w:val="000000" w:themeColor="text1"/>
        </w:rPr>
        <w:t xml:space="preserve">Ćwiczenia: </w:t>
      </w:r>
      <w:r w:rsidR="003D65CD" w:rsidRPr="00140B04">
        <w:rPr>
          <w:rFonts w:ascii="Corbel" w:eastAsia="Calibri" w:hAnsi="Corbel"/>
          <w:color w:val="000000" w:themeColor="text1"/>
        </w:rPr>
        <w:t>Analiza tekstów z dyskusją, praca w grupach (rozwiązywanie zadań, dyskusja).</w:t>
      </w:r>
    </w:p>
    <w:p w:rsidR="00F93134" w:rsidRPr="00140B0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color w:val="000000" w:themeColor="text1"/>
          <w:sz w:val="24"/>
          <w:szCs w:val="24"/>
        </w:rPr>
      </w:pPr>
    </w:p>
    <w:p w:rsidR="00F93134" w:rsidRPr="00140B04" w:rsidRDefault="00F93134" w:rsidP="00140B04">
      <w:pPr>
        <w:pStyle w:val="Nagwek3"/>
        <w:rPr>
          <w:rFonts w:eastAsia="Calibri"/>
          <w:color w:val="000000" w:themeColor="text1"/>
          <w:sz w:val="20"/>
          <w:szCs w:val="20"/>
        </w:rPr>
      </w:pPr>
      <w:r w:rsidRPr="00140B04">
        <w:rPr>
          <w:rFonts w:eastAsia="Calibri"/>
          <w:color w:val="000000" w:themeColor="text1"/>
          <w:sz w:val="20"/>
          <w:szCs w:val="20"/>
        </w:rPr>
        <w:t xml:space="preserve">Np.: </w:t>
      </w:r>
    </w:p>
    <w:p w:rsidR="00F93134" w:rsidRPr="00140B04" w:rsidRDefault="00F93134" w:rsidP="00140B04">
      <w:pPr>
        <w:pStyle w:val="Nagwek3"/>
        <w:rPr>
          <w:rFonts w:eastAsia="Calibri"/>
          <w:i/>
          <w:color w:val="000000" w:themeColor="text1"/>
          <w:sz w:val="20"/>
          <w:szCs w:val="20"/>
        </w:rPr>
      </w:pPr>
      <w:r w:rsidRPr="00140B04">
        <w:rPr>
          <w:rFonts w:eastAsia="Calibri"/>
          <w:i/>
          <w:color w:val="000000" w:themeColor="text1"/>
          <w:sz w:val="20"/>
          <w:szCs w:val="20"/>
        </w:rPr>
        <w:t xml:space="preserve"> Wykład: wykład problemowy, wykład z prezentacją multimedialną, metody kształcenia na odległość </w:t>
      </w:r>
    </w:p>
    <w:p w:rsidR="00F93134" w:rsidRPr="00140B04" w:rsidRDefault="00F93134" w:rsidP="00140B04">
      <w:pPr>
        <w:pStyle w:val="Nagwek3"/>
        <w:rPr>
          <w:rFonts w:eastAsia="Calibri"/>
          <w:i/>
          <w:color w:val="000000" w:themeColor="text1"/>
          <w:sz w:val="20"/>
          <w:szCs w:val="20"/>
        </w:rPr>
      </w:pPr>
      <w:r w:rsidRPr="00140B04">
        <w:rPr>
          <w:rFonts w:eastAsia="Calibri"/>
          <w:i/>
          <w:color w:val="000000" w:themeColor="text1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F93134" w:rsidRPr="00140B04" w:rsidRDefault="00F93134" w:rsidP="00140B04">
      <w:pPr>
        <w:pStyle w:val="Nagwek3"/>
        <w:rPr>
          <w:rFonts w:eastAsia="Calibri"/>
          <w:i/>
          <w:color w:val="000000" w:themeColor="text1"/>
          <w:sz w:val="20"/>
          <w:szCs w:val="20"/>
        </w:rPr>
      </w:pPr>
      <w:r w:rsidRPr="00140B04">
        <w:rPr>
          <w:rFonts w:eastAsia="Calibri"/>
          <w:i/>
          <w:color w:val="000000" w:themeColor="text1"/>
          <w:sz w:val="20"/>
          <w:szCs w:val="20"/>
        </w:rPr>
        <w:t xml:space="preserve">Laboratorium: wykonywanie doświadczeń, projektowanie doświadczeń 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F93134" w:rsidRPr="00F93134" w:rsidRDefault="00F93134" w:rsidP="00F9313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 xml:space="preserve">4. METODY I KRYTERIA OCENY </w:t>
      </w:r>
    </w:p>
    <w:p w:rsidR="00F93134" w:rsidRPr="00F93134" w:rsidRDefault="00F93134" w:rsidP="00F9313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>4.1 Sposoby weryfikacji efektów uczenia się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93134" w:rsidRPr="00F93134" w:rsidTr="00F9313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140B04" w:rsidRDefault="00F93134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Metody oceny efektów uczenia się</w:t>
            </w:r>
          </w:p>
          <w:p w:rsidR="00F93134" w:rsidRPr="00140B04" w:rsidRDefault="00F93134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140B04" w:rsidRDefault="00F93134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 xml:space="preserve">Forma zajęć dydaktycznych </w:t>
            </w:r>
          </w:p>
          <w:p w:rsidR="00F93134" w:rsidRPr="00140B04" w:rsidRDefault="00F93134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(w, ćw., …)</w:t>
            </w:r>
          </w:p>
        </w:tc>
      </w:tr>
      <w:tr w:rsidR="00F93134" w:rsidRPr="00F93134" w:rsidTr="00F9313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140B04" w:rsidRDefault="007F6049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obserwacja w trakcie zajęć</w:t>
            </w:r>
            <w:r w:rsidR="00751EDA"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140B04" w:rsidRDefault="00F93134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="00F93134" w:rsidRPr="00F93134" w:rsidTr="00F9313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140B04" w:rsidRDefault="007F6049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obserwacja w trakcie zajęć</w:t>
            </w:r>
            <w:r w:rsidR="00751EDA"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140B04" w:rsidRDefault="00F93134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="00F93134" w:rsidRPr="00F93134" w:rsidTr="00F9313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140B04" w:rsidRDefault="007F6049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obserwacja w trakcie zajęć</w:t>
            </w:r>
            <w:r w:rsidR="00751EDA"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140B04" w:rsidRDefault="00F93134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="001E7196" w:rsidRPr="00F93134" w:rsidTr="00F9313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140B04" w:rsidRDefault="007F6049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obserwacja w trakcie zajęć</w:t>
            </w:r>
            <w:r w:rsidR="00751EDA"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140B04" w:rsidRDefault="001E7196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="001E7196" w:rsidRPr="00F93134" w:rsidTr="00F9313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F93134" w:rsidRDefault="001E7196" w:rsidP="00F93134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140B04" w:rsidRDefault="007F6049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96" w:rsidRPr="00140B04" w:rsidRDefault="001E7196" w:rsidP="00140B04">
            <w:pPr>
              <w:pStyle w:val="Nagwek2"/>
              <w:contextualSpacing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ćwiczenia</w:t>
            </w:r>
          </w:p>
        </w:tc>
      </w:tr>
    </w:tbl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Default="00F93134" w:rsidP="00F93134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 xml:space="preserve">4.2 Warunki zaliczenia </w:t>
      </w:r>
      <w:r w:rsidR="00C01E03">
        <w:rPr>
          <w:rFonts w:ascii="Corbel" w:eastAsia="Calibri" w:hAnsi="Corbel" w:cs="Times New Roman"/>
          <w:b/>
          <w:smallCaps/>
          <w:sz w:val="24"/>
          <w:szCs w:val="24"/>
        </w:rPr>
        <w:t>przedmiotu (kryteria oceniania)</w:t>
      </w:r>
    </w:p>
    <w:p w:rsidR="00F93134" w:rsidRPr="00C01E03" w:rsidRDefault="00F93134" w:rsidP="00F93134">
      <w:pPr>
        <w:spacing w:after="0" w:line="240" w:lineRule="auto"/>
        <w:ind w:left="426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3134" w:rsidRPr="00F93134" w:rsidTr="00F9313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751EDA" w:rsidRDefault="00751EDA" w:rsidP="00751EDA">
            <w:pPr>
              <w:pStyle w:val="Nagwek3"/>
              <w:rPr>
                <w:rFonts w:eastAsia="Calibri"/>
                <w:b/>
              </w:rPr>
            </w:pPr>
            <w:r w:rsidRPr="00140B04">
              <w:rPr>
                <w:rFonts w:eastAsia="Calibri"/>
                <w:color w:val="000000" w:themeColor="text1"/>
              </w:rPr>
              <w:t>Obecność obowiązkowa, aktywność podczas zajęć</w:t>
            </w:r>
            <w:r w:rsidR="00140B04" w:rsidRPr="00140B04">
              <w:rPr>
                <w:rFonts w:eastAsia="Calibri"/>
                <w:color w:val="000000" w:themeColor="text1"/>
              </w:rPr>
              <w:t>, pozytywnie oceniona praca projektowa</w:t>
            </w:r>
          </w:p>
        </w:tc>
      </w:tr>
    </w:tbl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9313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93134" w:rsidRPr="00F93134" w:rsidRDefault="00F93134" w:rsidP="00F9313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F93134" w:rsidRPr="00F93134" w:rsidTr="00F931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4" w:rsidRPr="00F93134" w:rsidRDefault="00F93134" w:rsidP="00F9313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93134" w:rsidRPr="00F93134" w:rsidTr="00F931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Godziny z harmonogramu studiów</w:t>
            </w: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F93134" w:rsidRPr="00F93134" w:rsidTr="00F931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Inne z udziałem nauczyciela</w:t>
            </w:r>
          </w:p>
          <w:p w:rsidR="00F93134" w:rsidRPr="00F93134" w:rsidRDefault="00F93134" w:rsidP="00F9313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(u</w:t>
            </w:r>
            <w:r w:rsidR="001E7196">
              <w:rPr>
                <w:rFonts w:ascii="Corbel" w:eastAsia="Calibri" w:hAnsi="Corbel" w:cs="Times New Roman"/>
                <w:sz w:val="24"/>
                <w:szCs w:val="24"/>
              </w:rPr>
              <w:t>dział w konsultacjach</w:t>
            </w: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C01E03" w:rsidP="00F9313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F93134" w:rsidRPr="00F93134" w:rsidTr="00F931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 xml:space="preserve">Godziny niekontaktowe – praca własna studenta (przygotowanie do zajęć, </w:t>
            </w:r>
            <w:r w:rsidR="00751EDA" w:rsidRPr="00751EDA">
              <w:rPr>
                <w:rFonts w:ascii="Corbel" w:eastAsia="Calibri" w:hAnsi="Corbel" w:cs="Times New Roman"/>
                <w:sz w:val="24"/>
                <w:szCs w:val="24"/>
              </w:rPr>
              <w:t>przygotowanie pracy projektowej</w:t>
            </w:r>
            <w:r w:rsidR="00140B04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90570B" w:rsidP="00F9313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F93134" w:rsidRPr="00F93134" w:rsidTr="00F931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34" w:rsidRPr="00F93134" w:rsidRDefault="0090570B" w:rsidP="00F9313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25</w:t>
            </w:r>
          </w:p>
        </w:tc>
      </w:tr>
      <w:tr w:rsidR="00F93134" w:rsidRPr="00F93134" w:rsidTr="00F9313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F93134" w:rsidP="00F9313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9313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F93134" w:rsidRDefault="00C01E03" w:rsidP="00F9313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</w:p>
        </w:tc>
      </w:tr>
    </w:tbl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ind w:left="426"/>
        <w:rPr>
          <w:rFonts w:ascii="Corbel" w:eastAsia="Calibri" w:hAnsi="Corbel" w:cs="Times New Roman"/>
          <w:i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i/>
          <w:smallCaps/>
          <w:sz w:val="24"/>
          <w:szCs w:val="24"/>
        </w:rPr>
        <w:t>* Należy uwzględnić, że 1 pkt ECTS odpowiada 25-30 godzin całkowitego nakładu pracy studenta.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>6. PRAKTYKI ZAWODOWE W RAMACH PRZEDMIOTU</w:t>
      </w:r>
    </w:p>
    <w:p w:rsidR="00F93134" w:rsidRPr="00F93134" w:rsidRDefault="00F93134" w:rsidP="00F9313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134" w:rsidRPr="00F93134" w:rsidTr="00F9313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140B04" w:rsidRDefault="00140B04" w:rsidP="00140B04">
            <w:pPr>
              <w:pStyle w:val="Nagwek3"/>
              <w:rPr>
                <w:rFonts w:ascii="Corbel" w:eastAsia="Calibri" w:hAnsi="Corbel"/>
                <w:color w:val="000000" w:themeColor="text1"/>
              </w:rPr>
            </w:pPr>
            <w:r>
              <w:rPr>
                <w:rFonts w:ascii="Corbel" w:eastAsia="Calibri" w:hAnsi="Corbel"/>
                <w:color w:val="000000" w:themeColor="text1"/>
              </w:rPr>
              <w:t>W</w:t>
            </w:r>
            <w:r w:rsidR="00F93134" w:rsidRPr="00140B04">
              <w:rPr>
                <w:rFonts w:ascii="Corbel" w:eastAsia="Calibri" w:hAnsi="Corbel"/>
                <w:color w:val="000000" w:themeColor="text1"/>
              </w:rPr>
              <w:t>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140B04" w:rsidRDefault="00F93134" w:rsidP="00140B04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  <w:tr w:rsidR="00F93134" w:rsidRPr="00F93134" w:rsidTr="00F9313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140B04" w:rsidRDefault="00140B04" w:rsidP="00140B04">
            <w:pPr>
              <w:pStyle w:val="Nagwek3"/>
              <w:rPr>
                <w:rFonts w:ascii="Corbel" w:eastAsia="Calibri" w:hAnsi="Corbel"/>
                <w:color w:val="000000" w:themeColor="text1"/>
              </w:rPr>
            </w:pPr>
            <w:r>
              <w:rPr>
                <w:rFonts w:ascii="Corbel" w:eastAsia="Calibri" w:hAnsi="Corbel"/>
                <w:color w:val="000000" w:themeColor="text1"/>
              </w:rPr>
              <w:t>Z</w:t>
            </w:r>
            <w:r w:rsidR="00F93134" w:rsidRPr="00140B04">
              <w:rPr>
                <w:rFonts w:ascii="Corbel" w:eastAsia="Calibri" w:hAnsi="Corbel"/>
                <w:color w:val="000000" w:themeColor="text1"/>
              </w:rPr>
              <w:t xml:space="preserve">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140B04" w:rsidRDefault="00F93134" w:rsidP="00140B04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:rsidR="00F93134" w:rsidRPr="00F93134" w:rsidRDefault="00F93134" w:rsidP="00F93134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93134">
        <w:rPr>
          <w:rFonts w:ascii="Corbel" w:eastAsia="Calibri" w:hAnsi="Corbel" w:cs="Times New Roman"/>
          <w:b/>
          <w:smallCaps/>
          <w:sz w:val="24"/>
          <w:szCs w:val="24"/>
        </w:rPr>
        <w:t xml:space="preserve">7. LITERATURA </w:t>
      </w:r>
    </w:p>
    <w:p w:rsidR="00F93134" w:rsidRPr="00F93134" w:rsidRDefault="00F93134" w:rsidP="00F9313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7480"/>
        <w:gridCol w:w="33"/>
      </w:tblGrid>
      <w:tr w:rsidR="00F93134" w:rsidRPr="00F93134" w:rsidTr="0081612E">
        <w:trPr>
          <w:gridBefore w:val="1"/>
          <w:wBefore w:w="33" w:type="dxa"/>
          <w:trHeight w:val="397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5E2E21" w:rsidRDefault="00F93134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lastRenderedPageBreak/>
              <w:t>Literatura podstawowa:</w:t>
            </w:r>
          </w:p>
          <w:p w:rsidR="00504F06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Heszen, H. Sęk, Psychologia zdrowia, PWN, W</w:t>
            </w:r>
            <w:r w:rsidR="00504F0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arszawa</w:t>
            </w:r>
            <w:r w:rsidR="00D85129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 xml:space="preserve">, </w:t>
            </w:r>
            <w:r w:rsidR="00504F0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2012</w:t>
            </w:r>
            <w:r w:rsidR="00D85129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.</w:t>
            </w:r>
          </w:p>
          <w:p w:rsidR="00D85129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G. Dolińska-Zygmunt, P</w:t>
            </w:r>
            <w:r w:rsidR="00D85129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odmiotowe uwarunkowania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 xml:space="preserve"> zachowań promujących zdrowie, Wydawnictwo I</w:t>
            </w:r>
            <w:r w:rsidR="00D85129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nst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ytutu Psychologii Pan, W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arszawa, 2000.</w:t>
            </w:r>
          </w:p>
          <w:p w:rsidR="00D85129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P. Oleś, Psychologia przełomu życia, Towarzystwo Naukowe KUL, L</w:t>
            </w:r>
            <w:r w:rsidR="00D85129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ublin, 2000.</w:t>
            </w:r>
          </w:p>
          <w:p w:rsidR="00504F06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Z. Słońska, P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romocja zdrowia, zarys problematyki.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 xml:space="preserve"> P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romocja zdrowia, nauki społeczne i medycyna, 1994 1-2, s. 37-52.</w:t>
            </w:r>
          </w:p>
          <w:p w:rsidR="00A836B6" w:rsidRPr="0081612E" w:rsidRDefault="005E2E21" w:rsidP="005E2E21">
            <w:pPr>
              <w:pStyle w:val="Nagwek2"/>
              <w:rPr>
                <w:rFonts w:eastAsia="Calibri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Z. Słońska, M. Misiuna, Promocja zdrowia. Słownik podstawowych terminów, Agencja Promo-L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ider, 1993.</w:t>
            </w:r>
          </w:p>
        </w:tc>
      </w:tr>
      <w:tr w:rsidR="00F93134" w:rsidRPr="00F93134" w:rsidTr="00F93134">
        <w:trPr>
          <w:gridAfter w:val="1"/>
          <w:wAfter w:w="33" w:type="dxa"/>
          <w:trHeight w:val="397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4" w:rsidRPr="00140B04" w:rsidRDefault="00F93134" w:rsidP="00140B04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140B04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Literatura uzupełniająca:</w:t>
            </w:r>
          </w:p>
          <w:p w:rsidR="0081612E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hAnsi="Corbel"/>
                <w:color w:val="000000" w:themeColor="text1"/>
                <w:sz w:val="24"/>
                <w:szCs w:val="24"/>
              </w:rPr>
              <w:t>Antonovsky, R</w:t>
            </w:r>
            <w:r w:rsidR="0081612E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ozwikłanie tajemnicy zdrowia. jak radzić sobie ze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 xml:space="preserve"> stresem i nie zachorować, Wydawnictwo Fundacja IPN, W</w:t>
            </w:r>
            <w:r w:rsidR="0081612E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arszawa 1995.</w:t>
            </w:r>
          </w:p>
          <w:p w:rsidR="0081612E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K. Durczok, W</w:t>
            </w:r>
            <w:r w:rsidR="0081612E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ygr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ać życie (rozmowy przeprowadził Piotr M</w:t>
            </w:r>
            <w:r w:rsidR="0081612E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ucharski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), Znak, K</w:t>
            </w:r>
            <w:r w:rsidR="00D85129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raków, 2005.</w:t>
            </w:r>
          </w:p>
          <w:p w:rsidR="00A836B6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H. Sęk, T. Pasikowski, Zdrowie-stres-zasoby,  Wydawnictwo Fundacji H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umaniora, 2001.</w:t>
            </w:r>
          </w:p>
          <w:p w:rsidR="001C0886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A. S</w:t>
            </w:r>
            <w:r w:rsidR="001C088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iciński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, Styl życia. Kultura wyboru, Wydawnictwo IFLS PAN, W</w:t>
            </w:r>
            <w:r w:rsidR="001C088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arszawa, 2002.</w:t>
            </w:r>
          </w:p>
          <w:p w:rsidR="00A836B6" w:rsidRPr="005E2E21" w:rsidRDefault="005E2E21" w:rsidP="005E2E21">
            <w:pPr>
              <w:pStyle w:val="Nagwek2"/>
              <w:rPr>
                <w:rFonts w:ascii="Corbel" w:eastAsia="Calibri" w:hAnsi="Corbel"/>
                <w:color w:val="000000" w:themeColor="text1"/>
                <w:sz w:val="24"/>
                <w:szCs w:val="24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W. Poznaniak, D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iagnozowanie, a etykietowanie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 xml:space="preserve"> (stygmatyzowanie) ludzi, [w:] J. Brzeziński, W. Poznaniak (red.) E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tyczne problemy działalności badawc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zej i praktycznej psychologów, W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ydawnictwo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 xml:space="preserve"> Fundacji Humaniora, P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oznań, 1994, s. 73-82.</w:t>
            </w:r>
          </w:p>
          <w:p w:rsidR="00D85129" w:rsidRPr="0081612E" w:rsidRDefault="005E2E21" w:rsidP="005E2E21">
            <w:pPr>
              <w:pStyle w:val="Nagwek2"/>
              <w:rPr>
                <w:rFonts w:eastAsia="Calibri"/>
              </w:rPr>
            </w:pP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Z. Juczyński, N</w:t>
            </w:r>
            <w:r w:rsidR="00D85129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 xml:space="preserve">arzędzia pomiaru w promocji 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zdrowia i psychologii zdrowia, P</w:t>
            </w:r>
            <w:r w:rsidR="00D85129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racownia tes</w:t>
            </w:r>
            <w:r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tów psychologicznych, W</w:t>
            </w:r>
            <w:r w:rsidR="00A836B6" w:rsidRPr="005E2E21">
              <w:rPr>
                <w:rFonts w:ascii="Corbel" w:eastAsia="Calibri" w:hAnsi="Corbel"/>
                <w:color w:val="000000" w:themeColor="text1"/>
                <w:sz w:val="24"/>
                <w:szCs w:val="24"/>
              </w:rPr>
              <w:t>arszawa, 2012.</w:t>
            </w:r>
          </w:p>
        </w:tc>
      </w:tr>
    </w:tbl>
    <w:p w:rsidR="00F93134" w:rsidRPr="00F93134" w:rsidRDefault="00F93134" w:rsidP="00F93134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:rsidR="00F93134" w:rsidRPr="00140B04" w:rsidRDefault="00F93134" w:rsidP="00140B04">
      <w:pPr>
        <w:pStyle w:val="Nagwek2"/>
        <w:rPr>
          <w:rFonts w:ascii="Corbel" w:eastAsia="Calibri" w:hAnsi="Corbel"/>
          <w:color w:val="000000" w:themeColor="text1"/>
          <w:sz w:val="24"/>
          <w:szCs w:val="24"/>
        </w:rPr>
      </w:pPr>
    </w:p>
    <w:p w:rsidR="00F93134" w:rsidRPr="00140B04" w:rsidRDefault="00F93134" w:rsidP="00140B04">
      <w:pPr>
        <w:pStyle w:val="Nagwek2"/>
        <w:rPr>
          <w:rFonts w:ascii="Corbel" w:eastAsia="Calibri" w:hAnsi="Corbel"/>
          <w:b/>
          <w:color w:val="000000" w:themeColor="text1"/>
          <w:sz w:val="24"/>
          <w:szCs w:val="24"/>
        </w:rPr>
      </w:pPr>
      <w:r w:rsidRPr="00140B04">
        <w:rPr>
          <w:rFonts w:ascii="Corbel" w:eastAsia="Calibri" w:hAnsi="Corbel"/>
          <w:color w:val="000000" w:themeColor="text1"/>
          <w:sz w:val="24"/>
          <w:szCs w:val="24"/>
        </w:rPr>
        <w:t>Akceptacja Kierownika Jednostki lub osoby upoważnionej</w:t>
      </w:r>
    </w:p>
    <w:p w:rsidR="00F93134" w:rsidRPr="00F93134" w:rsidRDefault="00F93134" w:rsidP="00F93134">
      <w:pPr>
        <w:spacing w:line="254" w:lineRule="auto"/>
        <w:rPr>
          <w:rFonts w:ascii="Calibri" w:eastAsia="Calibri" w:hAnsi="Calibri" w:cs="Times New Roman"/>
        </w:rPr>
      </w:pPr>
    </w:p>
    <w:p w:rsidR="00F93134" w:rsidRPr="00F93134" w:rsidRDefault="00F93134" w:rsidP="00F93134">
      <w:pPr>
        <w:spacing w:line="256" w:lineRule="auto"/>
        <w:rPr>
          <w:rFonts w:ascii="Calibri" w:eastAsia="Calibri" w:hAnsi="Calibri" w:cs="Times New Roman"/>
        </w:rPr>
      </w:pPr>
    </w:p>
    <w:p w:rsidR="001D0B00" w:rsidRDefault="001D0B00"/>
    <w:sectPr w:rsidR="001D0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5F6" w:rsidRDefault="00A915F6" w:rsidP="00F93134">
      <w:pPr>
        <w:spacing w:after="0" w:line="240" w:lineRule="auto"/>
      </w:pPr>
      <w:r>
        <w:separator/>
      </w:r>
    </w:p>
  </w:endnote>
  <w:endnote w:type="continuationSeparator" w:id="0">
    <w:p w:rsidR="00A915F6" w:rsidRDefault="00A915F6" w:rsidP="00F9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5F6" w:rsidRDefault="00A915F6" w:rsidP="00F93134">
      <w:pPr>
        <w:spacing w:after="0" w:line="240" w:lineRule="auto"/>
      </w:pPr>
      <w:r>
        <w:separator/>
      </w:r>
    </w:p>
  </w:footnote>
  <w:footnote w:type="continuationSeparator" w:id="0">
    <w:p w:rsidR="00A915F6" w:rsidRDefault="00A915F6" w:rsidP="00F93134">
      <w:pPr>
        <w:spacing w:after="0" w:line="240" w:lineRule="auto"/>
      </w:pPr>
      <w:r>
        <w:continuationSeparator/>
      </w:r>
    </w:p>
  </w:footnote>
  <w:footnote w:id="1">
    <w:p w:rsidR="00F93134" w:rsidRDefault="00F93134" w:rsidP="00F931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31231"/>
    <w:multiLevelType w:val="hybridMultilevel"/>
    <w:tmpl w:val="285EF4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C4744"/>
    <w:multiLevelType w:val="hybridMultilevel"/>
    <w:tmpl w:val="351CC74E"/>
    <w:lvl w:ilvl="0" w:tplc="E952A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564C1"/>
    <w:multiLevelType w:val="hybridMultilevel"/>
    <w:tmpl w:val="E2683DDE"/>
    <w:lvl w:ilvl="0" w:tplc="49BE7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>
      <w:start w:val="1"/>
      <w:numFmt w:val="lowerLetter"/>
      <w:lvlText w:val="%2."/>
      <w:lvlJc w:val="left"/>
      <w:pPr>
        <w:ind w:left="1646" w:hanging="360"/>
      </w:pPr>
    </w:lvl>
    <w:lvl w:ilvl="2" w:tplc="0415001B">
      <w:start w:val="1"/>
      <w:numFmt w:val="lowerRoman"/>
      <w:lvlText w:val="%3."/>
      <w:lvlJc w:val="right"/>
      <w:pPr>
        <w:ind w:left="2366" w:hanging="180"/>
      </w:pPr>
    </w:lvl>
    <w:lvl w:ilvl="3" w:tplc="0415000F">
      <w:start w:val="1"/>
      <w:numFmt w:val="decimal"/>
      <w:lvlText w:val="%4."/>
      <w:lvlJc w:val="left"/>
      <w:pPr>
        <w:ind w:left="3086" w:hanging="360"/>
      </w:pPr>
    </w:lvl>
    <w:lvl w:ilvl="4" w:tplc="04150019">
      <w:start w:val="1"/>
      <w:numFmt w:val="lowerLetter"/>
      <w:lvlText w:val="%5."/>
      <w:lvlJc w:val="left"/>
      <w:pPr>
        <w:ind w:left="3806" w:hanging="360"/>
      </w:pPr>
    </w:lvl>
    <w:lvl w:ilvl="5" w:tplc="0415001B">
      <w:start w:val="1"/>
      <w:numFmt w:val="lowerRoman"/>
      <w:lvlText w:val="%6."/>
      <w:lvlJc w:val="right"/>
      <w:pPr>
        <w:ind w:left="4526" w:hanging="180"/>
      </w:pPr>
    </w:lvl>
    <w:lvl w:ilvl="6" w:tplc="0415000F">
      <w:start w:val="1"/>
      <w:numFmt w:val="decimal"/>
      <w:lvlText w:val="%7."/>
      <w:lvlJc w:val="left"/>
      <w:pPr>
        <w:ind w:left="5246" w:hanging="360"/>
      </w:pPr>
    </w:lvl>
    <w:lvl w:ilvl="7" w:tplc="04150019">
      <w:start w:val="1"/>
      <w:numFmt w:val="lowerLetter"/>
      <w:lvlText w:val="%8."/>
      <w:lvlJc w:val="left"/>
      <w:pPr>
        <w:ind w:left="5966" w:hanging="360"/>
      </w:pPr>
    </w:lvl>
    <w:lvl w:ilvl="8" w:tplc="0415001B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58725DF0"/>
    <w:multiLevelType w:val="hybridMultilevel"/>
    <w:tmpl w:val="DF762F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F70D9"/>
    <w:multiLevelType w:val="hybridMultilevel"/>
    <w:tmpl w:val="2C8A07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B3DFC"/>
    <w:multiLevelType w:val="hybridMultilevel"/>
    <w:tmpl w:val="4EA2FC9A"/>
    <w:lvl w:ilvl="0" w:tplc="307A485E">
      <w:start w:val="1"/>
      <w:numFmt w:val="decimal"/>
      <w:lvlText w:val="%1."/>
      <w:lvlJc w:val="left"/>
      <w:pPr>
        <w:ind w:left="220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79"/>
    <w:rsid w:val="000C6B1C"/>
    <w:rsid w:val="001105A8"/>
    <w:rsid w:val="0012799E"/>
    <w:rsid w:val="00140B04"/>
    <w:rsid w:val="001C0886"/>
    <w:rsid w:val="001D0B00"/>
    <w:rsid w:val="001D4FBF"/>
    <w:rsid w:val="001E7196"/>
    <w:rsid w:val="00375DD1"/>
    <w:rsid w:val="003B04D7"/>
    <w:rsid w:val="003D65CD"/>
    <w:rsid w:val="003E0505"/>
    <w:rsid w:val="00504F06"/>
    <w:rsid w:val="005528C5"/>
    <w:rsid w:val="0059556D"/>
    <w:rsid w:val="005E2E21"/>
    <w:rsid w:val="00751EDA"/>
    <w:rsid w:val="00773C79"/>
    <w:rsid w:val="007F6049"/>
    <w:rsid w:val="0081612E"/>
    <w:rsid w:val="00892AF4"/>
    <w:rsid w:val="0090570B"/>
    <w:rsid w:val="009518C9"/>
    <w:rsid w:val="00951C2B"/>
    <w:rsid w:val="009C44E4"/>
    <w:rsid w:val="00A836B6"/>
    <w:rsid w:val="00A915F6"/>
    <w:rsid w:val="00B14FD6"/>
    <w:rsid w:val="00B87E96"/>
    <w:rsid w:val="00BF742D"/>
    <w:rsid w:val="00C01E03"/>
    <w:rsid w:val="00C15C07"/>
    <w:rsid w:val="00CD2580"/>
    <w:rsid w:val="00D85129"/>
    <w:rsid w:val="00F93134"/>
    <w:rsid w:val="00F94ADA"/>
    <w:rsid w:val="00FC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E37C"/>
  <w15:docId w15:val="{999381ED-6624-48AE-891F-5BE7358F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1E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2E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1E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13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13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93134"/>
    <w:rPr>
      <w:vertAlign w:val="superscript"/>
    </w:rPr>
  </w:style>
  <w:style w:type="paragraph" w:styleId="Bezodstpw">
    <w:name w:val="No Spacing"/>
    <w:uiPriority w:val="1"/>
    <w:qFormat/>
    <w:rsid w:val="003D65C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04F0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E2E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51E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751ED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9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User</cp:lastModifiedBy>
  <cp:revision>7</cp:revision>
  <dcterms:created xsi:type="dcterms:W3CDTF">2024-07-24T09:48:00Z</dcterms:created>
  <dcterms:modified xsi:type="dcterms:W3CDTF">2024-08-21T07:29:00Z</dcterms:modified>
</cp:coreProperties>
</file>