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CD" w:rsidRDefault="00EB6ECD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EB6ECD" w:rsidRDefault="00EB6ECD" w:rsidP="00EB6EC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EB6ECD" w:rsidRDefault="00EB6ECD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EB6ECD" w:rsidRDefault="00EB6ECD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B71FE">
        <w:rPr>
          <w:rFonts w:ascii="Corbel" w:hAnsi="Corbel"/>
          <w:b/>
          <w:smallCaps/>
          <w:sz w:val="24"/>
          <w:szCs w:val="24"/>
        </w:rPr>
        <w:t>1</w:t>
      </w:r>
      <w:r w:rsidRPr="00FD1CAE">
        <w:rPr>
          <w:rFonts w:ascii="Corbel" w:hAnsi="Corbel"/>
          <w:b/>
          <w:smallCaps/>
          <w:sz w:val="24"/>
          <w:szCs w:val="24"/>
        </w:rPr>
        <w:t>-202</w:t>
      </w:r>
      <w:r w:rsidR="008B71FE">
        <w:rPr>
          <w:rFonts w:ascii="Corbel" w:hAnsi="Corbel"/>
          <w:b/>
          <w:smallCaps/>
          <w:sz w:val="24"/>
          <w:szCs w:val="24"/>
        </w:rPr>
        <w:t>6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</w:t>
      </w:r>
      <w:r w:rsidR="008B71FE">
        <w:rPr>
          <w:rFonts w:ascii="Corbel" w:hAnsi="Corbel"/>
          <w:b/>
          <w:sz w:val="24"/>
          <w:szCs w:val="24"/>
        </w:rPr>
        <w:t>2</w:t>
      </w:r>
      <w:r w:rsidRPr="00FD1CAE">
        <w:rPr>
          <w:rFonts w:ascii="Corbel" w:hAnsi="Corbel"/>
          <w:b/>
          <w:sz w:val="24"/>
          <w:szCs w:val="24"/>
        </w:rPr>
        <w:t>/202</w:t>
      </w:r>
      <w:r w:rsidR="008B71FE">
        <w:rPr>
          <w:rFonts w:ascii="Corbel" w:hAnsi="Corbel"/>
          <w:b/>
          <w:sz w:val="24"/>
          <w:szCs w:val="24"/>
        </w:rPr>
        <w:t>3</w:t>
      </w:r>
    </w:p>
    <w:p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56922" w:rsidRPr="00FD1CAE" w:rsidTr="00605ACB">
        <w:tc>
          <w:tcPr>
            <w:tcW w:w="2694" w:type="dxa"/>
            <w:vAlign w:val="center"/>
          </w:tcPr>
          <w:p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E56922" w:rsidRPr="00FD1CAE" w:rsidTr="00605ACB">
        <w:tc>
          <w:tcPr>
            <w:tcW w:w="1048" w:type="dxa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:rsidTr="00022828">
        <w:trPr>
          <w:trHeight w:val="453"/>
        </w:trPr>
        <w:tc>
          <w:tcPr>
            <w:tcW w:w="1048" w:type="dxa"/>
            <w:vAlign w:val="center"/>
          </w:tcPr>
          <w:p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przyszłych funkcji zawodowych 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>Wprowadzenie studentów w problematykę oczekiwań wobec profesjonalnego i etycznego przygotowania do pracy;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E56922" w:rsidRPr="00FD1CAE" w:rsidTr="00605ACB">
        <w:tc>
          <w:tcPr>
            <w:tcW w:w="1701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:rsidTr="00605ACB">
        <w:tc>
          <w:tcPr>
            <w:tcW w:w="1701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:rsidTr="00022828">
        <w:trPr>
          <w:trHeight w:val="844"/>
        </w:trPr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Potrafi analizować własne działania pedagogiczne, dydaktyczne, wychowawcze, opiekuńcze i rehabilitacyjne, </w:t>
            </w: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PS.U10.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posługiwać się aparatem mowy zgodnie z zasadami emisji głosu;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neurodynamiki itp., 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a proces nauczania-uczenia się.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E56922" w:rsidRPr="00FD1CAE" w:rsidTr="00605ACB">
        <w:tc>
          <w:tcPr>
            <w:tcW w:w="1985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B427E5" w:rsidRPr="00FD1CAE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ocenianie wg. skali: ndst, dst, plus dst, db, plus db, bdb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E56922" w:rsidRPr="00FD1CAE" w:rsidTr="00605ACB">
        <w:tc>
          <w:tcPr>
            <w:tcW w:w="4962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:rsidTr="00605ACB"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620C11" w:rsidRPr="00FD1CAE" w:rsidRDefault="00620C11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0C11" w:rsidRPr="00FD1CAE" w:rsidTr="00FF7D76">
        <w:trPr>
          <w:trHeight w:val="1145"/>
        </w:trPr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3969"/>
      </w:tblGrid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E56922" w:rsidRPr="00FD1CAE" w:rsidTr="00605ACB">
        <w:trPr>
          <w:trHeight w:val="983"/>
        </w:trPr>
        <w:tc>
          <w:tcPr>
            <w:tcW w:w="9072" w:type="dxa"/>
          </w:tcPr>
          <w:p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:rsidR="00E56922" w:rsidRPr="00FD1CAE" w:rsidRDefault="00E56922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  <w:lang w:bidi="mr-IN"/>
              </w:rPr>
              <w:t xml:space="preserve"> </w:t>
            </w:r>
            <w:r w:rsidRPr="00FD1CAE">
              <w:rPr>
                <w:rFonts w:ascii="Corbel" w:hAnsi="Corbel"/>
              </w:rPr>
              <w:t xml:space="preserve">Bałachowicz J., </w:t>
            </w:r>
            <w:r w:rsidRPr="00FD1CAE">
              <w:rPr>
                <w:rFonts w:ascii="Corbel" w:hAnsi="Corbel"/>
                <w:i/>
              </w:rPr>
              <w:t>Umiejętność czytania uczniów szkół podstawowych dla upośledzonych umysłowo w stopniu lekkim</w:t>
            </w:r>
            <w:r w:rsidRPr="00FD1CAE">
              <w:rPr>
                <w:rFonts w:ascii="Corbel" w:hAnsi="Corbel"/>
              </w:rPr>
              <w:t>. Wyd. WSPS, Warszawa 1992 (wybrane zagadnienia).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Byers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Górniewicz E., Krause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Od tradycjonalizmu do ponowoczesności: dyskursy pedagogiki specjalnej</w:t>
            </w:r>
            <w:r w:rsidRPr="00FD1CAE">
              <w:rPr>
                <w:rFonts w:ascii="Corbel" w:hAnsi="Corbel"/>
                <w:sz w:val="24"/>
                <w:szCs w:val="24"/>
              </w:rPr>
              <w:t>, Olsztyn 2002.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 xml:space="preserve"> Klus-Stańska D., Szczepska-Putkowska M.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Pedagogika wczesnoszkolna. Dyskursy, problemy, rozwiązania</w:t>
            </w:r>
            <w:r w:rsidRPr="00FD1CAE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Kozłowska A. (red. nauk.),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Dylematy współczesnego wychowania i edukacji</w:t>
            </w:r>
            <w:r w:rsidRPr="00FD1CAE">
              <w:rPr>
                <w:rFonts w:ascii="Corbel" w:hAnsi="Corbel"/>
                <w:sz w:val="24"/>
                <w:szCs w:val="24"/>
              </w:rPr>
              <w:t>, Kraków 2007.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Edukacja dzieci o specjalnych potrzebach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w: Szlendak T.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Małe dziecko w Polsce. Raport o sytuacji edukacji elementarnej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, Warszawa 2006. 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Sekułowicz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Sosin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:rsidTr="00605ACB">
        <w:trPr>
          <w:trHeight w:val="397"/>
        </w:trPr>
        <w:tc>
          <w:tcPr>
            <w:tcW w:w="9072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Gustavsson A. , Zakrzewska-Manterys.,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Zeidler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Wybrane problemy psychologiczne i ortopedagogiczne</w:t>
            </w: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67F" w:rsidRDefault="001F067F">
      <w:r>
        <w:separator/>
      </w:r>
    </w:p>
  </w:endnote>
  <w:endnote w:type="continuationSeparator" w:id="0">
    <w:p w:rsidR="001F067F" w:rsidRDefault="001F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67F" w:rsidRDefault="001F067F">
      <w:r>
        <w:separator/>
      </w:r>
    </w:p>
  </w:footnote>
  <w:footnote w:type="continuationSeparator" w:id="0">
    <w:p w:rsidR="001F067F" w:rsidRDefault="001F067F">
      <w:r>
        <w:continuationSeparator/>
      </w:r>
    </w:p>
  </w:footnote>
  <w:footnote w:id="1">
    <w:p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B92"/>
    <w:rsid w:val="00022828"/>
    <w:rsid w:val="000C4C8A"/>
    <w:rsid w:val="00122057"/>
    <w:rsid w:val="00153C41"/>
    <w:rsid w:val="00177AA2"/>
    <w:rsid w:val="001D1F0F"/>
    <w:rsid w:val="001D25AB"/>
    <w:rsid w:val="001F067F"/>
    <w:rsid w:val="00256AC0"/>
    <w:rsid w:val="002903BF"/>
    <w:rsid w:val="0037033B"/>
    <w:rsid w:val="003B7686"/>
    <w:rsid w:val="004A348E"/>
    <w:rsid w:val="004F13D9"/>
    <w:rsid w:val="00504EFF"/>
    <w:rsid w:val="005401F7"/>
    <w:rsid w:val="00570D05"/>
    <w:rsid w:val="0057350F"/>
    <w:rsid w:val="00593FB5"/>
    <w:rsid w:val="005B2D22"/>
    <w:rsid w:val="005E62F5"/>
    <w:rsid w:val="00605ACB"/>
    <w:rsid w:val="00620C11"/>
    <w:rsid w:val="00652C25"/>
    <w:rsid w:val="006F26AE"/>
    <w:rsid w:val="00777B92"/>
    <w:rsid w:val="007E17AE"/>
    <w:rsid w:val="007E7114"/>
    <w:rsid w:val="008477DA"/>
    <w:rsid w:val="0085747A"/>
    <w:rsid w:val="008A1E3E"/>
    <w:rsid w:val="008B55EB"/>
    <w:rsid w:val="008B71FE"/>
    <w:rsid w:val="008C70EB"/>
    <w:rsid w:val="008F4927"/>
    <w:rsid w:val="009067F4"/>
    <w:rsid w:val="00953149"/>
    <w:rsid w:val="0095525D"/>
    <w:rsid w:val="00A35003"/>
    <w:rsid w:val="00A3702A"/>
    <w:rsid w:val="00AC747F"/>
    <w:rsid w:val="00B15B1B"/>
    <w:rsid w:val="00B427E5"/>
    <w:rsid w:val="00B42D22"/>
    <w:rsid w:val="00CD41FF"/>
    <w:rsid w:val="00CE61F1"/>
    <w:rsid w:val="00D11EDF"/>
    <w:rsid w:val="00D11F3C"/>
    <w:rsid w:val="00D467EB"/>
    <w:rsid w:val="00D57EFE"/>
    <w:rsid w:val="00DC1680"/>
    <w:rsid w:val="00E212D2"/>
    <w:rsid w:val="00E42661"/>
    <w:rsid w:val="00E56922"/>
    <w:rsid w:val="00E60B80"/>
    <w:rsid w:val="00EB6ECD"/>
    <w:rsid w:val="00EE6CAF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01FC62"/>
  <w15:docId w15:val="{DD898D1A-BF3F-4725-88AD-3E6ECB3B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1340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16</cp:revision>
  <dcterms:created xsi:type="dcterms:W3CDTF">2020-02-03T07:51:00Z</dcterms:created>
  <dcterms:modified xsi:type="dcterms:W3CDTF">2024-02-29T11:36:00Z</dcterms:modified>
</cp:coreProperties>
</file>