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D1" w:rsidRDefault="005468D1" w:rsidP="005468D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5468D1" w:rsidRDefault="005468D1" w:rsidP="004531C6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5D5518" w:rsidRPr="00F6201C" w:rsidRDefault="005D5518" w:rsidP="004531C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>SYLABUS</w:t>
      </w:r>
    </w:p>
    <w:p w:rsidR="005D5518" w:rsidRPr="00F6201C" w:rsidRDefault="005D5518" w:rsidP="005D55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31C6" w:rsidRPr="00F6201C">
        <w:rPr>
          <w:rFonts w:ascii="Corbel" w:hAnsi="Corbel"/>
          <w:b/>
          <w:smallCaps/>
          <w:sz w:val="24"/>
          <w:szCs w:val="24"/>
        </w:rPr>
        <w:t>202</w:t>
      </w:r>
      <w:r w:rsidR="00D16D2A">
        <w:rPr>
          <w:rFonts w:ascii="Corbel" w:hAnsi="Corbel"/>
          <w:b/>
          <w:smallCaps/>
          <w:sz w:val="24"/>
          <w:szCs w:val="24"/>
        </w:rPr>
        <w:t>3</w:t>
      </w:r>
      <w:r w:rsidR="004531C6" w:rsidRPr="00F6201C">
        <w:rPr>
          <w:rFonts w:ascii="Corbel" w:hAnsi="Corbel"/>
          <w:b/>
          <w:smallCaps/>
          <w:sz w:val="24"/>
          <w:szCs w:val="24"/>
        </w:rPr>
        <w:t>-202</w:t>
      </w:r>
      <w:r w:rsidR="00D16D2A">
        <w:rPr>
          <w:rFonts w:ascii="Corbel" w:hAnsi="Corbel"/>
          <w:b/>
          <w:smallCaps/>
          <w:sz w:val="24"/>
          <w:szCs w:val="24"/>
        </w:rPr>
        <w:t>8</w:t>
      </w:r>
    </w:p>
    <w:p w:rsidR="00207273" w:rsidRDefault="005D5518" w:rsidP="004531C6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R</w:t>
      </w:r>
      <w:r w:rsidR="004531C6" w:rsidRPr="00F6201C">
        <w:rPr>
          <w:rFonts w:ascii="Corbel" w:hAnsi="Corbel"/>
          <w:sz w:val="24"/>
          <w:szCs w:val="24"/>
        </w:rPr>
        <w:t>ok akademicki</w:t>
      </w:r>
      <w:r w:rsidR="004A3F12" w:rsidRPr="00F6201C">
        <w:rPr>
          <w:rFonts w:ascii="Corbel" w:hAnsi="Corbel"/>
          <w:sz w:val="24"/>
          <w:szCs w:val="24"/>
        </w:rPr>
        <w:t xml:space="preserve"> </w:t>
      </w:r>
      <w:r w:rsidR="004A3F12" w:rsidRPr="00F6201C">
        <w:rPr>
          <w:rFonts w:ascii="Corbel" w:hAnsi="Corbel"/>
          <w:b/>
          <w:sz w:val="24"/>
          <w:szCs w:val="24"/>
        </w:rPr>
        <w:t>202</w:t>
      </w:r>
      <w:r w:rsidR="00D16D2A">
        <w:rPr>
          <w:rFonts w:ascii="Corbel" w:hAnsi="Corbel"/>
          <w:b/>
          <w:sz w:val="24"/>
          <w:szCs w:val="24"/>
        </w:rPr>
        <w:t>5</w:t>
      </w:r>
      <w:r w:rsidR="004A3F12" w:rsidRPr="00F6201C">
        <w:rPr>
          <w:rFonts w:ascii="Corbel" w:hAnsi="Corbel"/>
          <w:b/>
          <w:sz w:val="24"/>
          <w:szCs w:val="24"/>
        </w:rPr>
        <w:t>/202</w:t>
      </w:r>
      <w:r w:rsidR="00D16D2A">
        <w:rPr>
          <w:rFonts w:ascii="Corbel" w:hAnsi="Corbel"/>
          <w:b/>
          <w:sz w:val="24"/>
          <w:szCs w:val="24"/>
        </w:rPr>
        <w:t>6</w:t>
      </w:r>
    </w:p>
    <w:p w:rsidR="005D5518" w:rsidRPr="00F6201C" w:rsidRDefault="004531C6" w:rsidP="004531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  </w:t>
      </w:r>
    </w:p>
    <w:p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6201C">
        <w:rPr>
          <w:rFonts w:ascii="Corbel" w:hAnsi="Corbel"/>
          <w:szCs w:val="24"/>
        </w:rPr>
        <w:t>1. Podstawowe 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 w:rsidP="00EE53B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</w:t>
            </w:r>
            <w:r w:rsidR="004531C6" w:rsidRPr="00F6201C">
              <w:rPr>
                <w:rFonts w:ascii="Corbel" w:hAnsi="Corbel"/>
                <w:sz w:val="24"/>
                <w:szCs w:val="24"/>
              </w:rPr>
              <w:t>ydaktyka specjalna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2072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D5518" w:rsidRPr="00F6201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2072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5518" w:rsidRPr="00F6201C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III rok, 5 i 6 semestr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Moduł C.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Kształcenie kierunkowe, Moduł C.5. Dydaktyka specjalna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4531C6" w:rsidRPr="00F6201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61380" w:rsidP="004613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C6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:rsidR="005D5518" w:rsidRPr="00F6201C" w:rsidRDefault="005D5518" w:rsidP="000104CB">
      <w:pPr>
        <w:pStyle w:val="Podpunkty"/>
        <w:ind w:left="0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* </w:t>
      </w:r>
      <w:r w:rsidRPr="00F6201C">
        <w:rPr>
          <w:rFonts w:ascii="Corbel" w:hAnsi="Corbel"/>
          <w:i/>
          <w:sz w:val="24"/>
          <w:szCs w:val="24"/>
        </w:rPr>
        <w:t>-</w:t>
      </w:r>
      <w:r w:rsidRPr="00F6201C">
        <w:rPr>
          <w:rFonts w:ascii="Corbel" w:hAnsi="Corbel"/>
          <w:b w:val="0"/>
          <w:i/>
          <w:sz w:val="24"/>
          <w:szCs w:val="24"/>
        </w:rPr>
        <w:t>opcjonalni</w:t>
      </w:r>
      <w:r w:rsidRPr="00F6201C">
        <w:rPr>
          <w:rFonts w:ascii="Corbel" w:hAnsi="Corbel"/>
          <w:b w:val="0"/>
          <w:sz w:val="24"/>
          <w:szCs w:val="24"/>
        </w:rPr>
        <w:t>e,</w:t>
      </w:r>
      <w:r w:rsidRPr="00F6201C">
        <w:rPr>
          <w:rFonts w:ascii="Corbel" w:hAnsi="Corbel"/>
          <w:i/>
          <w:sz w:val="24"/>
          <w:szCs w:val="24"/>
        </w:rPr>
        <w:t xml:space="preserve"> </w:t>
      </w:r>
      <w:r w:rsidRPr="00F6201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D5518" w:rsidRPr="00F6201C" w:rsidRDefault="005D5518" w:rsidP="005D5518">
      <w:pPr>
        <w:pStyle w:val="Podpunkty"/>
        <w:ind w:left="0"/>
        <w:rPr>
          <w:rFonts w:ascii="Corbel" w:hAnsi="Corbel"/>
          <w:sz w:val="24"/>
          <w:szCs w:val="24"/>
        </w:rPr>
      </w:pPr>
    </w:p>
    <w:p w:rsidR="005D5518" w:rsidRPr="00F6201C" w:rsidRDefault="005D5518" w:rsidP="004A3F12">
      <w:pPr>
        <w:pStyle w:val="Podpunkty"/>
        <w:ind w:left="284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0"/>
        <w:gridCol w:w="742"/>
        <w:gridCol w:w="851"/>
        <w:gridCol w:w="766"/>
        <w:gridCol w:w="800"/>
        <w:gridCol w:w="699"/>
        <w:gridCol w:w="917"/>
        <w:gridCol w:w="1229"/>
        <w:gridCol w:w="1357"/>
      </w:tblGrid>
      <w:tr w:rsidR="004A3F12" w:rsidRPr="00F6201C" w:rsidTr="005D5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Semestr</w:t>
            </w:r>
          </w:p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4A3F1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201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A3F12" w:rsidRPr="00F6201C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3F12" w:rsidRPr="00F6201C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5D5518" w:rsidRPr="00F6201C" w:rsidRDefault="005D5518" w:rsidP="004A3F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D5518" w:rsidRPr="00F6201C" w:rsidRDefault="0042709C" w:rsidP="0042709C">
      <w:pPr>
        <w:tabs>
          <w:tab w:val="left" w:pos="993"/>
        </w:tabs>
        <w:spacing w:after="0" w:line="240" w:lineRule="auto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     </w:t>
      </w:r>
      <w:r w:rsidR="005D5518" w:rsidRPr="00F6201C">
        <w:rPr>
          <w:rFonts w:ascii="Corbel" w:hAnsi="Corbel"/>
          <w:b/>
          <w:sz w:val="24"/>
          <w:szCs w:val="24"/>
        </w:rPr>
        <w:t>1.2.</w:t>
      </w:r>
      <w:r w:rsidR="005D5518" w:rsidRPr="00F6201C">
        <w:rPr>
          <w:rFonts w:ascii="Corbel" w:hAnsi="Corbel"/>
          <w:sz w:val="24"/>
          <w:szCs w:val="24"/>
        </w:rPr>
        <w:tab/>
        <w:t xml:space="preserve">Sposób realizacji zajęć  </w:t>
      </w:r>
    </w:p>
    <w:p w:rsidR="004A3F12" w:rsidRPr="00F6201C" w:rsidRDefault="004A3F12" w:rsidP="0042709C">
      <w:pPr>
        <w:pStyle w:val="Punktygwne"/>
        <w:spacing w:before="0" w:after="0"/>
        <w:ind w:left="284" w:firstLine="708"/>
        <w:rPr>
          <w:rFonts w:ascii="Corbel" w:eastAsia="MS Gothic" w:hAnsi="Corbel"/>
          <w:b w:val="0"/>
          <w:szCs w:val="24"/>
        </w:rPr>
      </w:pPr>
      <w:r w:rsidRPr="00F6201C">
        <w:rPr>
          <w:rFonts w:ascii="Corbel" w:eastAsia="MS Gothic" w:hAnsi="Corbel"/>
          <w:b w:val="0"/>
          <w:szCs w:val="24"/>
        </w:rPr>
        <w:sym w:font="Wingdings" w:char="F078"/>
      </w:r>
      <w:r w:rsidRPr="00F6201C">
        <w:rPr>
          <w:rFonts w:ascii="Corbel" w:eastAsia="MS Gothic" w:hAnsi="Corbel"/>
          <w:b w:val="0"/>
          <w:szCs w:val="24"/>
        </w:rPr>
        <w:t xml:space="preserve"> </w:t>
      </w:r>
      <w:r w:rsidRPr="00F6201C">
        <w:rPr>
          <w:rFonts w:ascii="Corbel" w:hAnsi="Corbel"/>
          <w:b w:val="0"/>
          <w:smallCaps w:val="0"/>
          <w:szCs w:val="24"/>
        </w:rPr>
        <w:t>zajęcia w formie tradycyjnej</w:t>
      </w:r>
    </w:p>
    <w:p w:rsidR="005D5518" w:rsidRPr="00F6201C" w:rsidRDefault="005D5518" w:rsidP="0042709C">
      <w:pPr>
        <w:spacing w:after="0" w:line="240" w:lineRule="auto"/>
        <w:ind w:left="284" w:firstLine="708"/>
        <w:rPr>
          <w:rFonts w:ascii="Corbel" w:hAnsi="Corbel"/>
          <w:b/>
          <w:sz w:val="24"/>
          <w:szCs w:val="24"/>
        </w:rPr>
      </w:pPr>
      <w:r w:rsidRPr="00F6201C">
        <w:rPr>
          <w:rFonts w:ascii="MS Gothic" w:eastAsia="MS Gothic" w:hAnsi="MS Gothic" w:cs="MS Gothic" w:hint="eastAsia"/>
          <w:b/>
          <w:sz w:val="24"/>
          <w:szCs w:val="24"/>
        </w:rPr>
        <w:t>☐</w:t>
      </w:r>
      <w:r w:rsidRPr="00F6201C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5D5518" w:rsidRPr="00F6201C" w:rsidRDefault="005D5518" w:rsidP="0042709C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5D5518" w:rsidRPr="00F6201C" w:rsidRDefault="0042709C" w:rsidP="0042709C">
      <w:pPr>
        <w:spacing w:after="0" w:line="240" w:lineRule="auto"/>
        <w:ind w:firstLine="284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1.3  </w:t>
      </w:r>
      <w:r w:rsidR="005D5518" w:rsidRPr="00F6201C">
        <w:rPr>
          <w:rFonts w:ascii="Corbel" w:hAnsi="Corbel"/>
          <w:b/>
          <w:sz w:val="24"/>
          <w:szCs w:val="24"/>
        </w:rPr>
        <w:t xml:space="preserve">Forma zaliczenia przedmiotu  (z toku) </w:t>
      </w:r>
    </w:p>
    <w:p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warsztaty: zaliczenie z oceną</w:t>
      </w:r>
    </w:p>
    <w:p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całość przedmiotu: </w:t>
      </w:r>
      <w:r w:rsidR="00FD4B01" w:rsidRPr="00F6201C">
        <w:rPr>
          <w:rFonts w:ascii="Corbel" w:hAnsi="Corbel"/>
          <w:sz w:val="24"/>
          <w:szCs w:val="24"/>
        </w:rPr>
        <w:t>egzamin</w:t>
      </w: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5518" w:rsidRPr="00F6201C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D4B01" w:rsidP="00FD4B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Zaliczenie przedmiotów: teoretyczne podstawy kształcenia, psychologia ogólna, </w:t>
            </w: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>psychologia rozwojowa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3. cele, efekty uczenia się , treści Programowe i stosowane metody Dydaktyczne</w:t>
      </w:r>
    </w:p>
    <w:p w:rsidR="005D5518" w:rsidRPr="00F6201C" w:rsidRDefault="005D5518" w:rsidP="004A3F12">
      <w:pPr>
        <w:pStyle w:val="Podpunkty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1"/>
        <w:gridCol w:w="8349"/>
      </w:tblGrid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ze współczesnymi tendencjami w edukacji w kontekście kształcenia uczniów ze specjalnymi potrzebami edukacyjnymi.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uwarunkowaniami efektywnej edukacji uczniów ze specjalnymi potrzebami edukacyjnymi, m.in. z potrzebami edukacyjnymi tej grupy dzieci i młodzieży, warunkami edukacyjnymi oraz kompetencjami nauczyciela pracującego w systemie kształcenia specjalnego. 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podstawowych umiejętności z zakresu organizacji i metodyki kształcenia uczniów ze specjalnymi potrzebami edukacyjnymi.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umiejętności diagnozowania i oceniania sytuacji edukacyjnych z uwzględnieniem specjalnych potrzeb uczniów.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Uwrażliwienie na konieczność współpracy między różnymi podmiotami środowiska edukacyjnego (uczniów, nauczycieli, specjalistów, rodziców). 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5D5518" w:rsidRPr="00F6201C" w:rsidRDefault="005D5518" w:rsidP="004A3F1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3.2 Efekty uczenia się dla przedmiotu</w:t>
      </w:r>
      <w:r w:rsidRPr="00F6201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3"/>
        <w:gridCol w:w="5697"/>
        <w:gridCol w:w="1850"/>
      </w:tblGrid>
      <w:tr w:rsidR="005D5518" w:rsidRPr="00F6201C" w:rsidTr="00FD4B0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6201C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752DB9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B9" w:rsidRPr="00F6201C" w:rsidRDefault="00752DB9" w:rsidP="00752DB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Student/-ka: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D5518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830E27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Wyjaśni i zdefiniuje podstawowe zagadnienia z obszaru dydaktyki specjalnej, m.in.: wzorce dydaktyki specjalnej, kształcenie specjalne, kształcenie integracyjne, typy kształcenia, modele podejścia do edukacji, zasady kształcenia specjalnego, metody stosowane w dydaktyce specjalnej.</w:t>
            </w:r>
            <w:r w:rsidR="00E55C5C" w:rsidRPr="00F6201C">
              <w:rPr>
                <w:rFonts w:ascii="Corbel" w:hAnsi="Corbel"/>
                <w:sz w:val="24"/>
                <w:szCs w:val="24"/>
              </w:rPr>
              <w:t xml:space="preserve"> 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E55C5C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C5C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5C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C5C" w:rsidRPr="00F6201C" w:rsidRDefault="00E55C5C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Zaprezentuje merytoryczne i metodyczne aspekty prowadzenia zajęć z uwzględnieniem potrzeb i możliwości psychofizycznych uczniów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PS.W12.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Wdroży programy edukacyjne pozwalające na osiągnięcie efektów uczenia się w obszarze wiedzy, umiejętności i kompetencji społecznych przez uczniów ze specjalnymi potrzebami edukacyjnymi.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PS.U8.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Zaprojektuje, przeprowadzi i dokona ewaluacji zajęć </w:t>
            </w: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edukacyjnych, których uczestnikami są uczniowie ze specjalnymi potrzebami edukacyjnymi. </w:t>
            </w:r>
            <w:r w:rsidR="00F20131" w:rsidRPr="00F6201C">
              <w:rPr>
                <w:rFonts w:ascii="Corbel" w:hAnsi="Corbel"/>
                <w:sz w:val="24"/>
                <w:szCs w:val="24"/>
              </w:rPr>
              <w:t>Dobierze metody kształcenia oraz zmodyfikuje i dostosuje metody, formy pracy i środki dydaktyczne odpowiednio do potrzeb rozwojowych i edukacyjnych uczniów z zaburzeniami i odchyleniami rozwojowymi oraz szczególnie uzdolnionymi.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PS.U11.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Zastosuje innowacyjne rozwiązania metodyczne będące efektem samodzielnego studiowania literatury naukowej, w tym obcojęzycznej.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PS.U16.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Dokona obserwacji działań dydaktycznych kierowanych do uczniów ze specjalnymi potrzebami edukacyjnymi, zaanalizuje je i oceni w oparciu o teorie nauczania-uczenia się.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PS.U17.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CA0EA5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Podejmie działania </w:t>
            </w:r>
            <w:r w:rsidR="00CA3012" w:rsidRPr="00F6201C">
              <w:rPr>
                <w:rFonts w:ascii="Corbel" w:hAnsi="Corbel"/>
                <w:sz w:val="24"/>
                <w:szCs w:val="24"/>
              </w:rPr>
              <w:t>na rzecz poprawy jakości pracy przedszkola, szkoły lub placówki systemu oświaty ze szczególnym uwzględnieniem efektywności pracy z uczniami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131B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3.3 Treści programowe </w:t>
      </w:r>
      <w:r w:rsidRPr="00F6201C">
        <w:rPr>
          <w:rFonts w:ascii="Corbel" w:hAnsi="Corbel"/>
          <w:sz w:val="24"/>
          <w:szCs w:val="24"/>
        </w:rPr>
        <w:t xml:space="preserve"> </w:t>
      </w:r>
    </w:p>
    <w:p w:rsidR="005D5518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 </w:t>
      </w:r>
    </w:p>
    <w:p w:rsidR="0041131B" w:rsidRPr="00F6201C" w:rsidRDefault="005D5518" w:rsidP="00411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Problematyka wykładu</w:t>
      </w:r>
    </w:p>
    <w:p w:rsidR="005D5518" w:rsidRPr="00F6201C" w:rsidRDefault="0041131B" w:rsidP="0041131B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nie dotyczy</w:t>
      </w:r>
      <w:r w:rsidR="005D5518" w:rsidRPr="00F6201C">
        <w:rPr>
          <w:rFonts w:ascii="Corbel" w:hAnsi="Corbel"/>
          <w:sz w:val="24"/>
          <w:szCs w:val="24"/>
        </w:rPr>
        <w:t xml:space="preserve"> </w:t>
      </w:r>
    </w:p>
    <w:p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:rsidR="005D5518" w:rsidRPr="00F6201C" w:rsidRDefault="005D5518" w:rsidP="0041131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Problematyka </w:t>
      </w:r>
      <w:r w:rsidR="0041131B" w:rsidRPr="00F6201C">
        <w:rPr>
          <w:rFonts w:ascii="Corbel" w:hAnsi="Corbel"/>
          <w:sz w:val="24"/>
          <w:szCs w:val="24"/>
        </w:rPr>
        <w:t>warsztatów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41131B" w:rsidRPr="00F6201C" w:rsidTr="0041131B">
        <w:tc>
          <w:tcPr>
            <w:tcW w:w="9212" w:type="dxa"/>
          </w:tcPr>
          <w:p w:rsidR="0041131B" w:rsidRPr="00F6201C" w:rsidRDefault="0041131B" w:rsidP="0041131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jako nauka teoretyczna i empiryczna. Dydaktyka specjalna a dydaktyka ogólna i pedagogika specjalna. Interdyscyplinarność dydaktyki specjalnej. Przedmiot dydaktyki specjalnej. Kierunki współczesnych badań istotnych dla obszaru dydaktyki specjalnej.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Zarys historyczny dydaktyki specjalnej. Rozwój polskiej dydaktyki specjalnej. Ortodydaktyka Ottona Lipkowskiego.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Współczesne tendencje w edukacji a dydaktyka specjalna.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Kanony dydaktyki specjalnej w koncepcji Joanny Głodkowskiej.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Systematyka dydaktyki specjalnej- różne ujęcia. Dydaktyki specjalistyczne.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Koncepcje kształcenia specjalnego. Systemy kształcenia w wybranych krajach. Kształcenie uczniów ze specjalnymi potrzebami w Polsce.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Prawidłowości nauczania-uczenia się- implikacje dla dydaktyki specjalnej.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dydaktyki specjalnej.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Uczeń ze specjalnymi potrzebami edukacyjnymi jako podmiot dydaktyki specjalnej.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edukacji w szkolnictwie ogólnodostępnym.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pracy edukacyjnej w grupach zróżnicowanych.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Regulacje prawne a edukacja uczniów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Specyfika pracy z rodziną ucznia ze specjalnymi potrzebami edukacyjnymi- uwarunkowania, metody wspierania rodziny, współpraca ze szkołą i specjalistami.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Diagnoza pedagogiczna w kontekście kształcenia ucznia ze specjalnymi potrzebami </w:t>
            </w: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>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Kierunki specjalnego oddziaływania pedagogicznego.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Podstawy metodyczne kształcenia uczniów ze specjalnymi potrzebami edukacyjnymi: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Cele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kształcenia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Zasady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Metody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Formy organizacyjne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Środki dydaktyczne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Dydaktyki specjalistyczne: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kształcenia uczniów z niepełnosprawnością intelektualną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Tyflodydaktyka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Surdodydaktyka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terapeutyczno-lecznicza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resocjalizacyjna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korekcyjna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wybrane dydaktyki specjalistyczne.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Ewaluacja i efektywność podejmowanych działań edukacyjnych.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Monitorowanie osiągnięć szkolnych uczniów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Zadania i kompetencje pedagoga specjalnego w kształceniu uczniów ze specjalnymi potrzebami edukacyjnymi. Praca w zespole i realizacja złożonych działań pedagogicznych.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Zwiększanie umiejętności poznawczych i kompetencji społecznych uczniów. Integracja rówieśnicza – rozwiązania praktyczne.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Dostosowanie wymagań edukacyjnych wobec uczniów ze specjalnymi potrzebami edukacyjnymi – ćwiczenia praktyczne.</w:t>
            </w:r>
          </w:p>
        </w:tc>
      </w:tr>
    </w:tbl>
    <w:p w:rsidR="005D5518" w:rsidRPr="00F6201C" w:rsidRDefault="005D5518" w:rsidP="00427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42709C">
      <w:pPr>
        <w:spacing w:after="0" w:line="240" w:lineRule="auto"/>
        <w:ind w:left="708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3.4 Metody dydaktyczne </w:t>
      </w:r>
    </w:p>
    <w:p w:rsidR="00CA3012" w:rsidRPr="00F6201C" w:rsidRDefault="00CA3012" w:rsidP="0042709C">
      <w:pPr>
        <w:pStyle w:val="Bezodstpw"/>
        <w:ind w:left="708" w:firstLine="45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wykład konwersatoryjny, </w:t>
      </w:r>
      <w:r w:rsidR="00F04A4D" w:rsidRPr="00F6201C">
        <w:rPr>
          <w:rFonts w:ascii="Corbel" w:hAnsi="Corbel"/>
          <w:sz w:val="24"/>
          <w:szCs w:val="24"/>
        </w:rPr>
        <w:t xml:space="preserve">dyskusja, </w:t>
      </w:r>
      <w:r w:rsidR="0041131B" w:rsidRPr="00F6201C">
        <w:rPr>
          <w:rFonts w:ascii="Corbel" w:hAnsi="Corbel"/>
          <w:sz w:val="24"/>
          <w:szCs w:val="24"/>
        </w:rPr>
        <w:t>dyskusja z</w:t>
      </w:r>
      <w:r w:rsidRPr="00F6201C">
        <w:rPr>
          <w:rFonts w:ascii="Corbel" w:hAnsi="Corbel"/>
          <w:sz w:val="24"/>
          <w:szCs w:val="24"/>
        </w:rPr>
        <w:t xml:space="preserve"> analizą fragmentów filmu dydaktycznego</w:t>
      </w:r>
      <w:r w:rsidR="00F04A4D" w:rsidRPr="00F6201C">
        <w:rPr>
          <w:rFonts w:ascii="Corbel" w:hAnsi="Corbel"/>
          <w:sz w:val="24"/>
          <w:szCs w:val="24"/>
        </w:rPr>
        <w:t>, a</w:t>
      </w:r>
      <w:r w:rsidRPr="00F6201C">
        <w:rPr>
          <w:rFonts w:ascii="Corbel" w:hAnsi="Corbel"/>
          <w:sz w:val="24"/>
          <w:szCs w:val="24"/>
        </w:rPr>
        <w:t>naliza tekstów z dyskusją, metoda projektów (projekty  praktyczn</w:t>
      </w:r>
      <w:r w:rsidR="00F04A4D" w:rsidRPr="00F6201C">
        <w:rPr>
          <w:rFonts w:ascii="Corbel" w:hAnsi="Corbel"/>
          <w:sz w:val="24"/>
          <w:szCs w:val="24"/>
        </w:rPr>
        <w:t xml:space="preserve">e),  praca w grupach, </w:t>
      </w:r>
      <w:r w:rsidRPr="00F6201C">
        <w:rPr>
          <w:rFonts w:ascii="Corbel" w:hAnsi="Corbel"/>
          <w:sz w:val="24"/>
          <w:szCs w:val="24"/>
        </w:rPr>
        <w:t>symulacja fragmentów zajęć edukacyjnych</w:t>
      </w: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4. METODY I KRYTERIA OCENY </w:t>
      </w: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5D5518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A4D" w:rsidRPr="00F6201C" w:rsidRDefault="00F04A4D" w:rsidP="004270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91E82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5518" w:rsidRPr="00F6201C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C9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Pozytywna ocena z kolokwium 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 xml:space="preserve">(test) </w:t>
            </w:r>
            <w:r w:rsidRPr="00F6201C">
              <w:rPr>
                <w:rFonts w:ascii="Corbel" w:hAnsi="Corbel"/>
                <w:sz w:val="24"/>
                <w:szCs w:val="24"/>
              </w:rPr>
              <w:t>obejmującego treści programowe realizowane w ramach ćwiczeń; przygotowanie prac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y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projektowej (opracowanie elementu planowania materiału programowego z dostosowaniem wymagań edukacyjnych do potrzeb i możliwości ucznia ze SPE); przeprowadzenie fragmentu zajęć edukacyjnych- zajęcia symulacyjne.</w:t>
            </w:r>
          </w:p>
          <w:p w:rsidR="005D5518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całości przedmiotu: egzamin w formie pisemnej.</w:t>
            </w:r>
            <w:r w:rsidR="000104CB" w:rsidRPr="00F6201C">
              <w:rPr>
                <w:rFonts w:ascii="Corbel" w:hAnsi="Corbel"/>
                <w:sz w:val="24"/>
                <w:szCs w:val="24"/>
              </w:rPr>
              <w:t xml:space="preserve"> 60% pozytywnych odpowiedzi gwarantuje zaliczenie modułu na poziomie oceny dst. Ocena dst plus 70% dobra 80% dobra plus 85% bardzo dobra 90– 100%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04A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CC5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:</w:t>
            </w:r>
          </w:p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przyg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otowanie do zaliczenia warsztatów (test)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, przygotowanie do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praca projektowa, przygotowanie zajęć symulacyjnych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74CC9" w:rsidP="00F74C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6201C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04A4D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4961"/>
      </w:tblGrid>
      <w:tr w:rsidR="005D5518" w:rsidRPr="00F6201C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5D5518" w:rsidRPr="00F6201C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7. LITERATURA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5D5518" w:rsidRPr="00F6201C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Głodkowska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 w przygotowaniu do kształcenia uczniów ze specjalnymi potrzebami edukacyjnymi. Podręcznik akademicki</w:t>
            </w:r>
            <w:r w:rsidRPr="00F6201C">
              <w:rPr>
                <w:rFonts w:ascii="Corbel" w:hAnsi="Corbel"/>
                <w:sz w:val="24"/>
                <w:szCs w:val="24"/>
              </w:rPr>
              <w:t>. Wyd. APS, Warszawa 2012.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Głodkowska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systematyki do projektowania dydaktyk specjalistycznych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Głodkowska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wzorca do interpretacji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Haring N.G., Schiefelbusch R.L. (red.):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Nauczanie specjalne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, PWN, Warszawa 1982.</w:t>
            </w:r>
          </w:p>
          <w:p w:rsidR="009349EF" w:rsidRPr="00F6201C" w:rsidRDefault="009349EF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Klus-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Stańska D.: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Paradygmaty dydaktyki. Myśleć teorią o praktyce. </w:t>
            </w:r>
            <w:r w:rsidRPr="00F6201C">
              <w:rPr>
                <w:rFonts w:ascii="Corbel" w:hAnsi="Corbel"/>
                <w:sz w:val="24"/>
                <w:szCs w:val="24"/>
              </w:rPr>
              <w:t>Wydawnictwo Naukowe PWN SA, Warszawa 2018.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Speck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Niepełnosprawni w społeczeństwie. Podstawy ortopedagogiki. </w:t>
            </w:r>
            <w:r w:rsidRPr="00F6201C">
              <w:rPr>
                <w:rFonts w:ascii="Corbel" w:hAnsi="Corbel"/>
                <w:sz w:val="24"/>
                <w:szCs w:val="24"/>
              </w:rPr>
              <w:t>Wyd. GWP, Gdańsk 2005.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Wyczesany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Dydaktyka specjalna. Wybrane zagadnienia. </w:t>
            </w:r>
            <w:r w:rsidRPr="00F6201C">
              <w:rPr>
                <w:rFonts w:ascii="Corbel" w:hAnsi="Corbel"/>
                <w:sz w:val="24"/>
                <w:szCs w:val="24"/>
              </w:rPr>
              <w:t>Wyd. Harmonia Universalis, Gdańsk 2014.</w:t>
            </w:r>
          </w:p>
        </w:tc>
      </w:tr>
      <w:tr w:rsidR="005D5518" w:rsidRPr="00F6201C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Gajdzica Z.: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 roli i pozycji badacza w badaniach rzeczywistości szkoły specjalnej i integracyjnej</w:t>
            </w:r>
            <w:r w:rsidRPr="00F6201C">
              <w:rPr>
                <w:rFonts w:ascii="Corbel" w:hAnsi="Corbel"/>
                <w:sz w:val="24"/>
                <w:szCs w:val="24"/>
              </w:rPr>
              <w:t>. „Interdyscyplinarne Konteksty Pedagogiki Specjalnej” 2013, nr 3.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Lejzerowicz M., Galbarczyk M.: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Szkoła a indywidualizacja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„Edukacja Humanistyczna” 2018, nr 1(38). </w:t>
            </w:r>
          </w:p>
          <w:p w:rsidR="00B425D9" w:rsidRPr="00F6201C" w:rsidRDefault="00B425D9" w:rsidP="00F04A4D">
            <w:pPr>
              <w:pStyle w:val="Bezodstpw"/>
              <w:ind w:left="72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F6201C">
              <w:rPr>
                <w:rFonts w:ascii="Corbel" w:hAnsi="Corbel"/>
                <w:sz w:val="24"/>
                <w:szCs w:val="24"/>
                <w:lang w:val="en-GB"/>
              </w:rPr>
              <w:t xml:space="preserve">DOI: </w:t>
            </w:r>
            <w:hyperlink r:id="rId7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lang w:val="en-GB"/>
                </w:rPr>
                <w:t>https://doi.org/10.14746/ikps.2013.3.01</w:t>
              </w:r>
            </w:hyperlink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Marciniak Paprocka K.: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Metody pracy z osobami z niepełnosprawnościami: raport z badań pilotażowych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„Student Niepełnosprawny: szkice i rozprawy” 2018, z. 18 (11), </w:t>
            </w:r>
            <w:hyperlink r:id="rId8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http://hdl.handle.net/11331/1928</w:t>
              </w:r>
            </w:hyperlink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Niemierko B.: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Kształcenie szkolne. Podręcznik skutecznej dydaktyki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. Wydawnictwo Akademickie i Profesjonalne Warszawa 2007.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Pieronkiewicz B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Koncepcja kształcenia transgresyjnego oraz teoria dezintegracji pozytywnej jako odpowiedź na specjalne potrzeby edukacyjne współczesnej młodzieży</w:t>
            </w:r>
            <w:r w:rsidRPr="00F6201C">
              <w:rPr>
                <w:rFonts w:ascii="Corbel" w:hAnsi="Corbel"/>
                <w:sz w:val="24"/>
                <w:szCs w:val="24"/>
              </w:rPr>
              <w:t>. „Podstawy Edukacji” 2014, nr 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Speck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Osoby z niepełnosprawnością intelektualną. Podręcznik dla celów wychowawczych i edukacyjnych.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Gdańsk 2015.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Trochimiak B.: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Terapia dydaktyczna. </w:t>
            </w:r>
            <w:r w:rsidRPr="00F6201C">
              <w:rPr>
                <w:rFonts w:ascii="Corbel" w:hAnsi="Corbel"/>
                <w:sz w:val="24"/>
                <w:szCs w:val="24"/>
              </w:rPr>
              <w:t>„Niepełnosprawność. Dyskursy pedagogiki specjalnej” 2013, nr 11.</w:t>
            </w:r>
          </w:p>
        </w:tc>
      </w:tr>
    </w:tbl>
    <w:p w:rsidR="005D5518" w:rsidRPr="00F6201C" w:rsidRDefault="005D5518" w:rsidP="00F727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727D9">
      <w:pPr>
        <w:ind w:firstLine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Akceptacja Kierownika Jednostki lub osoby upoważnionej</w:t>
      </w:r>
    </w:p>
    <w:p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:rsidR="009E18A0" w:rsidRPr="00F6201C" w:rsidRDefault="009E18A0" w:rsidP="009E18A0">
      <w:pPr>
        <w:ind w:firstLine="708"/>
        <w:jc w:val="right"/>
        <w:rPr>
          <w:rFonts w:ascii="Corbel" w:hAnsi="Corbel"/>
          <w:sz w:val="24"/>
          <w:szCs w:val="24"/>
        </w:rPr>
      </w:pPr>
    </w:p>
    <w:p w:rsidR="006D631B" w:rsidRPr="00F6201C" w:rsidRDefault="006D631B" w:rsidP="00F727D9">
      <w:pPr>
        <w:rPr>
          <w:rFonts w:ascii="Corbel" w:hAnsi="Corbel"/>
          <w:sz w:val="24"/>
          <w:szCs w:val="24"/>
        </w:rPr>
      </w:pPr>
    </w:p>
    <w:sectPr w:rsidR="006D631B" w:rsidRPr="00F6201C" w:rsidSect="006D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4BF" w:rsidRDefault="004104BF" w:rsidP="005D5518">
      <w:pPr>
        <w:spacing w:after="0" w:line="240" w:lineRule="auto"/>
      </w:pPr>
      <w:r>
        <w:separator/>
      </w:r>
    </w:p>
  </w:endnote>
  <w:endnote w:type="continuationSeparator" w:id="0">
    <w:p w:rsidR="004104BF" w:rsidRDefault="004104BF" w:rsidP="005D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4BF" w:rsidRDefault="004104BF" w:rsidP="005D5518">
      <w:pPr>
        <w:spacing w:after="0" w:line="240" w:lineRule="auto"/>
      </w:pPr>
      <w:r>
        <w:separator/>
      </w:r>
    </w:p>
  </w:footnote>
  <w:footnote w:type="continuationSeparator" w:id="0">
    <w:p w:rsidR="004104BF" w:rsidRDefault="004104BF" w:rsidP="005D5518">
      <w:pPr>
        <w:spacing w:after="0" w:line="240" w:lineRule="auto"/>
      </w:pPr>
      <w:r>
        <w:continuationSeparator/>
      </w:r>
    </w:p>
  </w:footnote>
  <w:footnote w:id="1">
    <w:p w:rsidR="005D5518" w:rsidRDefault="005D5518" w:rsidP="005D551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1D6E56"/>
    <w:multiLevelType w:val="hybridMultilevel"/>
    <w:tmpl w:val="5B3A1E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542C6"/>
    <w:multiLevelType w:val="hybridMultilevel"/>
    <w:tmpl w:val="B01CC7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24C98"/>
    <w:multiLevelType w:val="hybridMultilevel"/>
    <w:tmpl w:val="4278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4C2B9A"/>
    <w:multiLevelType w:val="hybridMultilevel"/>
    <w:tmpl w:val="C6149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518"/>
    <w:rsid w:val="000104CB"/>
    <w:rsid w:val="000507F2"/>
    <w:rsid w:val="000A2EAE"/>
    <w:rsid w:val="000C2AED"/>
    <w:rsid w:val="001F2E6A"/>
    <w:rsid w:val="00207273"/>
    <w:rsid w:val="00287D40"/>
    <w:rsid w:val="004104BF"/>
    <w:rsid w:val="0041131B"/>
    <w:rsid w:val="0042709C"/>
    <w:rsid w:val="004531C6"/>
    <w:rsid w:val="00461380"/>
    <w:rsid w:val="00491E82"/>
    <w:rsid w:val="004A3F12"/>
    <w:rsid w:val="00531091"/>
    <w:rsid w:val="005468D1"/>
    <w:rsid w:val="005D5518"/>
    <w:rsid w:val="006D631B"/>
    <w:rsid w:val="006E4606"/>
    <w:rsid w:val="00707437"/>
    <w:rsid w:val="00713D98"/>
    <w:rsid w:val="00752DB9"/>
    <w:rsid w:val="007B79D3"/>
    <w:rsid w:val="00813754"/>
    <w:rsid w:val="00830E27"/>
    <w:rsid w:val="0085586D"/>
    <w:rsid w:val="008A303A"/>
    <w:rsid w:val="00904A85"/>
    <w:rsid w:val="009349EF"/>
    <w:rsid w:val="009910E2"/>
    <w:rsid w:val="009A6479"/>
    <w:rsid w:val="009E18A0"/>
    <w:rsid w:val="00B425D9"/>
    <w:rsid w:val="00C32FBD"/>
    <w:rsid w:val="00C36971"/>
    <w:rsid w:val="00C568B3"/>
    <w:rsid w:val="00CA0EA5"/>
    <w:rsid w:val="00CA3012"/>
    <w:rsid w:val="00CC5954"/>
    <w:rsid w:val="00CD3879"/>
    <w:rsid w:val="00CD5194"/>
    <w:rsid w:val="00D16D2A"/>
    <w:rsid w:val="00DF6902"/>
    <w:rsid w:val="00E41155"/>
    <w:rsid w:val="00E55C5C"/>
    <w:rsid w:val="00E8410F"/>
    <w:rsid w:val="00EE53B2"/>
    <w:rsid w:val="00F0412A"/>
    <w:rsid w:val="00F04A4D"/>
    <w:rsid w:val="00F20131"/>
    <w:rsid w:val="00F6201C"/>
    <w:rsid w:val="00F727D9"/>
    <w:rsid w:val="00F74CC9"/>
    <w:rsid w:val="00FC7B51"/>
    <w:rsid w:val="00FD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5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51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D55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5518"/>
    <w:pPr>
      <w:ind w:left="720"/>
      <w:contextualSpacing/>
    </w:pPr>
  </w:style>
  <w:style w:type="paragraph" w:customStyle="1" w:styleId="Punktygwne">
    <w:name w:val="Punkty główne"/>
    <w:basedOn w:val="Normalny"/>
    <w:rsid w:val="005D551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55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D551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55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D55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D551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D55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D551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5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5518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B425D9"/>
  </w:style>
  <w:style w:type="character" w:styleId="Hipercze">
    <w:name w:val="Hyperlink"/>
    <w:basedOn w:val="Domylnaczcionkaakapitu"/>
    <w:uiPriority w:val="99"/>
    <w:unhideWhenUsed/>
    <w:rsid w:val="00B425D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11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0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331/19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4746/ikps.2013.3.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1601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2020-02-11T09:10:00Z</dcterms:created>
  <dcterms:modified xsi:type="dcterms:W3CDTF">2024-09-04T10:35:00Z</dcterms:modified>
</cp:coreProperties>
</file>