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823" w:rsidRDefault="00CD3823" w:rsidP="00CD382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CD3823" w:rsidRDefault="00CD3823" w:rsidP="00D77765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D77765" w:rsidRPr="00AE1849" w:rsidRDefault="00D77765" w:rsidP="00D77765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AE1849">
        <w:rPr>
          <w:rFonts w:ascii="Corbel" w:hAnsi="Corbel"/>
          <w:b/>
          <w:smallCaps/>
          <w:sz w:val="24"/>
          <w:szCs w:val="24"/>
        </w:rPr>
        <w:t>SYLABUS</w:t>
      </w:r>
    </w:p>
    <w:p w:rsidR="00D77765" w:rsidRPr="00AE1849" w:rsidRDefault="00D77765" w:rsidP="0028598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E1849">
        <w:rPr>
          <w:rFonts w:ascii="Corbel" w:hAnsi="Corbel"/>
          <w:b/>
          <w:smallCaps/>
          <w:sz w:val="24"/>
          <w:szCs w:val="24"/>
        </w:rPr>
        <w:t>dotyczy cyklu kształcenia 202</w:t>
      </w:r>
      <w:r w:rsidR="00664DC6">
        <w:rPr>
          <w:rFonts w:ascii="Corbel" w:hAnsi="Corbel"/>
          <w:b/>
          <w:smallCaps/>
          <w:sz w:val="24"/>
          <w:szCs w:val="24"/>
        </w:rPr>
        <w:t>3</w:t>
      </w:r>
      <w:r w:rsidRPr="00AE1849">
        <w:rPr>
          <w:rFonts w:ascii="Corbel" w:hAnsi="Corbel"/>
          <w:b/>
          <w:smallCaps/>
          <w:sz w:val="24"/>
          <w:szCs w:val="24"/>
        </w:rPr>
        <w:t>-202</w:t>
      </w:r>
      <w:r w:rsidR="00664DC6">
        <w:rPr>
          <w:rFonts w:ascii="Corbel" w:hAnsi="Corbel"/>
          <w:b/>
          <w:smallCaps/>
          <w:sz w:val="24"/>
          <w:szCs w:val="24"/>
        </w:rPr>
        <w:t>8</w:t>
      </w:r>
    </w:p>
    <w:p w:rsidR="00D77765" w:rsidRPr="00AE1849" w:rsidRDefault="00D77765" w:rsidP="0028598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 xml:space="preserve">Rok akademicki </w:t>
      </w:r>
      <w:r w:rsidRPr="00AE1849">
        <w:rPr>
          <w:rFonts w:ascii="Corbel" w:hAnsi="Corbel"/>
          <w:b/>
          <w:sz w:val="24"/>
          <w:szCs w:val="24"/>
        </w:rPr>
        <w:t>202</w:t>
      </w:r>
      <w:r w:rsidR="00664DC6">
        <w:rPr>
          <w:rFonts w:ascii="Corbel" w:hAnsi="Corbel"/>
          <w:b/>
          <w:sz w:val="24"/>
          <w:szCs w:val="24"/>
        </w:rPr>
        <w:t>3</w:t>
      </w:r>
      <w:r w:rsidRPr="00AE1849">
        <w:rPr>
          <w:rFonts w:ascii="Corbel" w:hAnsi="Corbel"/>
          <w:b/>
          <w:sz w:val="24"/>
          <w:szCs w:val="24"/>
        </w:rPr>
        <w:t>/202</w:t>
      </w:r>
      <w:r w:rsidR="00664DC6">
        <w:rPr>
          <w:rFonts w:ascii="Corbel" w:hAnsi="Corbel"/>
          <w:b/>
          <w:sz w:val="24"/>
          <w:szCs w:val="24"/>
        </w:rPr>
        <w:t>4</w:t>
      </w:r>
    </w:p>
    <w:p w:rsidR="00D77765" w:rsidRPr="00AE1849" w:rsidRDefault="00D77765" w:rsidP="00D77765">
      <w:pPr>
        <w:spacing w:after="0" w:line="240" w:lineRule="auto"/>
        <w:rPr>
          <w:rFonts w:ascii="Corbel" w:hAnsi="Corbel"/>
          <w:sz w:val="24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E1849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246F86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psychologia rozwojowa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0A16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Moduł B. Przygotowanie psychologiczno-pedagogiczne. Moduł B1. Ogólne przygotowanie psyc</w:t>
            </w:r>
            <w:r w:rsidR="000A1681" w:rsidRPr="00AE1849">
              <w:rPr>
                <w:rFonts w:ascii="Corbel" w:hAnsi="Corbel"/>
                <w:b w:val="0"/>
                <w:sz w:val="24"/>
                <w:szCs w:val="24"/>
              </w:rPr>
              <w:t xml:space="preserve">hologiczne 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dr hab. Marta Wrońska, prof. UR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D777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AE1849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</w:p>
        </w:tc>
      </w:tr>
    </w:tbl>
    <w:p w:rsidR="00D77765" w:rsidRPr="00AE1849" w:rsidRDefault="00D77765" w:rsidP="00D22D87">
      <w:pPr>
        <w:pStyle w:val="Podpunkty"/>
        <w:ind w:left="0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 xml:space="preserve">* </w:t>
      </w:r>
      <w:r w:rsidRPr="00AE1849">
        <w:rPr>
          <w:rFonts w:ascii="Corbel" w:hAnsi="Corbel"/>
          <w:i/>
          <w:sz w:val="24"/>
          <w:szCs w:val="24"/>
        </w:rPr>
        <w:t>-</w:t>
      </w:r>
      <w:r w:rsidRPr="00AE1849">
        <w:rPr>
          <w:rFonts w:ascii="Corbel" w:hAnsi="Corbel"/>
          <w:b w:val="0"/>
          <w:i/>
          <w:sz w:val="24"/>
          <w:szCs w:val="24"/>
        </w:rPr>
        <w:t>opcjonalni</w:t>
      </w:r>
      <w:r w:rsidRPr="00AE1849">
        <w:rPr>
          <w:rFonts w:ascii="Corbel" w:hAnsi="Corbel"/>
          <w:b w:val="0"/>
          <w:sz w:val="24"/>
          <w:szCs w:val="24"/>
        </w:rPr>
        <w:t>e,</w:t>
      </w:r>
      <w:r w:rsidRPr="00AE1849">
        <w:rPr>
          <w:rFonts w:ascii="Corbel" w:hAnsi="Corbel"/>
          <w:i/>
          <w:sz w:val="24"/>
          <w:szCs w:val="24"/>
        </w:rPr>
        <w:t xml:space="preserve"> </w:t>
      </w:r>
      <w:r w:rsidRPr="00AE1849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D77765" w:rsidRPr="00AE1849" w:rsidRDefault="00D77765" w:rsidP="00D77765">
      <w:pPr>
        <w:pStyle w:val="Podpunkty"/>
        <w:ind w:left="0"/>
        <w:rPr>
          <w:rFonts w:ascii="Corbel" w:hAnsi="Corbel"/>
          <w:sz w:val="24"/>
          <w:szCs w:val="24"/>
        </w:rPr>
      </w:pPr>
    </w:p>
    <w:p w:rsidR="00D77765" w:rsidRPr="00AE1849" w:rsidRDefault="00D77765" w:rsidP="00D77765">
      <w:pPr>
        <w:pStyle w:val="Podpunkty"/>
        <w:ind w:left="284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D77765" w:rsidRPr="00AE1849" w:rsidRDefault="00D77765" w:rsidP="00D7776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D77765" w:rsidRPr="00AE1849" w:rsidTr="00D7776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Semestr</w:t>
            </w:r>
          </w:p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1849">
              <w:rPr>
                <w:rFonts w:ascii="Corbel" w:hAnsi="Corbel"/>
                <w:szCs w:val="24"/>
              </w:rPr>
              <w:t>Wykł</w:t>
            </w:r>
            <w:proofErr w:type="spellEnd"/>
            <w:r w:rsidRPr="00AE18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1849">
              <w:rPr>
                <w:rFonts w:ascii="Corbel" w:hAnsi="Corbel"/>
                <w:szCs w:val="24"/>
              </w:rPr>
              <w:t>Konw</w:t>
            </w:r>
            <w:proofErr w:type="spellEnd"/>
            <w:r w:rsidRPr="00AE18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1849">
              <w:rPr>
                <w:rFonts w:ascii="Corbel" w:hAnsi="Corbel"/>
                <w:szCs w:val="24"/>
              </w:rPr>
              <w:t>Sem</w:t>
            </w:r>
            <w:proofErr w:type="spellEnd"/>
            <w:r w:rsidRPr="00AE18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1849">
              <w:rPr>
                <w:rFonts w:ascii="Corbel" w:hAnsi="Corbel"/>
                <w:szCs w:val="24"/>
              </w:rPr>
              <w:t>Prakt</w:t>
            </w:r>
            <w:proofErr w:type="spellEnd"/>
            <w:r w:rsidRPr="00AE18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E1849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77765" w:rsidRPr="00AE1849" w:rsidTr="00D7776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D77765" w:rsidRPr="00AE1849" w:rsidRDefault="00D77765" w:rsidP="00D7776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77765" w:rsidRPr="00AE1849" w:rsidRDefault="00D77765" w:rsidP="00D7776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D77765" w:rsidRPr="00AE1849" w:rsidRDefault="00D77765" w:rsidP="00D7776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>1.2.</w:t>
      </w:r>
      <w:r w:rsidRPr="00AE1849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D77765" w:rsidRPr="00AE1849" w:rsidRDefault="00D77765" w:rsidP="00D7776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eastAsia="MS Gothic" w:hAnsi="Corbel"/>
          <w:b w:val="0"/>
          <w:szCs w:val="24"/>
        </w:rPr>
        <w:sym w:font="Wingdings" w:char="F078"/>
      </w:r>
      <w:r w:rsidRPr="00AE1849">
        <w:rPr>
          <w:rFonts w:ascii="Corbel" w:eastAsia="MS Gothic" w:hAnsi="Corbel"/>
          <w:b w:val="0"/>
          <w:szCs w:val="24"/>
        </w:rPr>
        <w:t xml:space="preserve"> </w:t>
      </w:r>
      <w:r w:rsidRPr="00AE184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D77765" w:rsidRPr="00AE1849" w:rsidRDefault="00D77765" w:rsidP="00D7776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E1849">
        <w:rPr>
          <w:rFonts w:ascii="MS Gothic" w:eastAsia="MS Gothic" w:hAnsi="MS Gothic" w:cs="MS Gothic" w:hint="eastAsia"/>
          <w:b w:val="0"/>
          <w:szCs w:val="24"/>
        </w:rPr>
        <w:t>☐</w:t>
      </w:r>
      <w:r w:rsidRPr="00AE18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77765" w:rsidRPr="00AE1849" w:rsidRDefault="00D77765" w:rsidP="00D7776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 xml:space="preserve">1.3 </w:t>
      </w:r>
      <w:r w:rsidRPr="00AE1849">
        <w:rPr>
          <w:rFonts w:ascii="Corbel" w:hAnsi="Corbel"/>
          <w:smallCaps w:val="0"/>
          <w:szCs w:val="24"/>
        </w:rPr>
        <w:tab/>
        <w:t xml:space="preserve">Forma zaliczenia przedmiotu  (z toku): </w:t>
      </w:r>
    </w:p>
    <w:p w:rsidR="00D77765" w:rsidRPr="00AE1849" w:rsidRDefault="00D77765" w:rsidP="00D77765">
      <w:pPr>
        <w:spacing w:after="0" w:line="240" w:lineRule="auto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ab/>
        <w:t>wykład: zaliczenia bez oceny</w:t>
      </w:r>
    </w:p>
    <w:p w:rsidR="00D77765" w:rsidRPr="00AE1849" w:rsidRDefault="00D77765" w:rsidP="00D77765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>ćwiczenia: zaliczenie z oceną</w:t>
      </w:r>
    </w:p>
    <w:p w:rsidR="00D77765" w:rsidRPr="00AE1849" w:rsidRDefault="00D77765" w:rsidP="00D77765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>całość przedmiotu: egzamin</w:t>
      </w: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zCs w:val="24"/>
        </w:rPr>
      </w:pPr>
      <w:r w:rsidRPr="00AE184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77765" w:rsidRPr="00AE1849" w:rsidTr="00604EA3">
        <w:tc>
          <w:tcPr>
            <w:tcW w:w="9670" w:type="dxa"/>
          </w:tcPr>
          <w:p w:rsidR="00D77765" w:rsidRPr="00AE1849" w:rsidRDefault="00D77765" w:rsidP="00604E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„Psychologia ogólna”.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zCs w:val="24"/>
        </w:rPr>
      </w:pPr>
      <w:r w:rsidRPr="00AE1849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zCs w:val="24"/>
        </w:rPr>
      </w:pPr>
    </w:p>
    <w:p w:rsidR="00D77765" w:rsidRPr="00AE1849" w:rsidRDefault="00D77765" w:rsidP="00D77765">
      <w:pPr>
        <w:pStyle w:val="Podpunkty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D77765" w:rsidRPr="00AE1849" w:rsidTr="00604EA3">
        <w:tc>
          <w:tcPr>
            <w:tcW w:w="841" w:type="dxa"/>
            <w:vAlign w:val="center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9" w:type="dxa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bCs/>
                <w:sz w:val="24"/>
                <w:szCs w:val="24"/>
              </w:rPr>
              <w:t>Przybliżenie studentom problemów, zadań i obszarów aplikacji współczesnej psychologii rozwoju człowieka.</w:t>
            </w:r>
          </w:p>
        </w:tc>
      </w:tr>
      <w:tr w:rsidR="00D77765" w:rsidRPr="00AE1849" w:rsidTr="00604EA3">
        <w:tc>
          <w:tcPr>
            <w:tcW w:w="841" w:type="dxa"/>
            <w:vAlign w:val="center"/>
          </w:tcPr>
          <w:p w:rsidR="00D77765" w:rsidRPr="00AE1849" w:rsidRDefault="00D77765" w:rsidP="00D77765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bCs/>
                <w:sz w:val="24"/>
                <w:szCs w:val="24"/>
              </w:rPr>
              <w:t>Uświadomienie wielości i złożoność czynników rozwoju psychicznego oraz ich praktycznych konsekwencji.</w:t>
            </w:r>
          </w:p>
        </w:tc>
      </w:tr>
      <w:tr w:rsidR="00D77765" w:rsidRPr="00AE1849" w:rsidTr="00604EA3">
        <w:tc>
          <w:tcPr>
            <w:tcW w:w="841" w:type="dxa"/>
            <w:vAlign w:val="center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bCs/>
                <w:sz w:val="24"/>
                <w:szCs w:val="24"/>
              </w:rPr>
              <w:t>Omówienie zjawisk i prawidłowości rozwojowych z zakresu poszczególnych sfer funkcjonowania człowieka.</w:t>
            </w:r>
          </w:p>
        </w:tc>
      </w:tr>
      <w:tr w:rsidR="00D77765" w:rsidRPr="00AE1849" w:rsidTr="00604EA3">
        <w:tc>
          <w:tcPr>
            <w:tcW w:w="841" w:type="dxa"/>
            <w:vAlign w:val="center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bCs/>
                <w:sz w:val="24"/>
                <w:szCs w:val="24"/>
              </w:rPr>
              <w:t>Zaznajomienie słuchaczy z podstawowymi koncepcjami i modelami rozwoju psychicznego, ukierunkowanymi na praktyczne zastosowanie.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77765" w:rsidRPr="00AE1849" w:rsidRDefault="00D77765" w:rsidP="00D7776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b/>
          <w:sz w:val="24"/>
          <w:szCs w:val="24"/>
        </w:rPr>
        <w:t>3.2 Efekty uczenia się dla przedmiotu</w:t>
      </w:r>
      <w:r w:rsidRPr="00AE184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77765" w:rsidRPr="00AE1849" w:rsidTr="00604EA3">
        <w:tc>
          <w:tcPr>
            <w:tcW w:w="1681" w:type="dxa"/>
            <w:vAlign w:val="center"/>
          </w:tcPr>
          <w:p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smallCaps w:val="0"/>
                <w:szCs w:val="24"/>
              </w:rPr>
              <w:t>EK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E184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7765" w:rsidRPr="00AE1849" w:rsidTr="00D77765">
        <w:tc>
          <w:tcPr>
            <w:tcW w:w="1681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Scharakteryzuje klasyczne i współczesne teorie rozwoju człowieka oraz najważniejsze uwarunkowania i następstwa tych procesów</w:t>
            </w:r>
          </w:p>
        </w:tc>
        <w:tc>
          <w:tcPr>
            <w:tcW w:w="1865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PS.W2.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PS.U17.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77765" w:rsidRPr="00AE1849" w:rsidTr="00D77765">
        <w:tc>
          <w:tcPr>
            <w:tcW w:w="1681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Zanalizuje i oceni różne zjawiska społeczne, w tym różne sytuacje wychowawcze, dydaktyczne i opiekuńcze wykorzystując do tego wiedzę z zakresu psychologii rozwoju</w:t>
            </w:r>
          </w:p>
        </w:tc>
        <w:tc>
          <w:tcPr>
            <w:tcW w:w="1865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PS.U17.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77765" w:rsidRPr="00AE1849" w:rsidTr="00D77765">
        <w:tc>
          <w:tcPr>
            <w:tcW w:w="1681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Przedstawi wyniki przeprowadzonej obserwacji rozwoju dziecka wraz z dokonaną analizą i interpretacją</w:t>
            </w:r>
          </w:p>
        </w:tc>
        <w:tc>
          <w:tcPr>
            <w:tcW w:w="1865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PS.U17.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  <w:tr w:rsidR="00D77765" w:rsidRPr="00AE1849" w:rsidTr="00D77765">
        <w:tc>
          <w:tcPr>
            <w:tcW w:w="1681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Odniesie wiedzę i umiejętności z psychologii rozwoju do kierowania własnym rozwojem</w:t>
            </w:r>
          </w:p>
        </w:tc>
        <w:tc>
          <w:tcPr>
            <w:tcW w:w="1865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765" w:rsidRPr="00AE1849" w:rsidRDefault="00D77765" w:rsidP="00D7776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E1849">
        <w:rPr>
          <w:rFonts w:ascii="Corbel" w:hAnsi="Corbel"/>
          <w:b/>
          <w:sz w:val="24"/>
          <w:szCs w:val="24"/>
        </w:rPr>
        <w:t>3.3 Treści programowe</w:t>
      </w:r>
    </w:p>
    <w:p w:rsidR="00D77765" w:rsidRPr="00AE1849" w:rsidRDefault="00D77765" w:rsidP="00D7776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E1849">
        <w:rPr>
          <w:rFonts w:ascii="Corbel" w:hAnsi="Corbel"/>
          <w:b/>
          <w:sz w:val="24"/>
          <w:szCs w:val="24"/>
        </w:rPr>
        <w:t xml:space="preserve"> </w:t>
      </w:r>
      <w:r w:rsidRPr="00AE1849">
        <w:rPr>
          <w:rFonts w:ascii="Corbel" w:hAnsi="Corbel"/>
          <w:sz w:val="24"/>
          <w:szCs w:val="24"/>
        </w:rPr>
        <w:t xml:space="preserve">  </w:t>
      </w:r>
    </w:p>
    <w:p w:rsidR="00D77765" w:rsidRPr="00AE1849" w:rsidRDefault="00D77765" w:rsidP="00D7776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Przedmiot, problemy i zadania współczesnej psychologii rozwoju człowieka.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Pojęcie rozwoju i zmiany rozwojowej. Czynniki rozwoju psychicznego: regulacje endogenne, środowisko fizyczne i społeczno-kulturowe, równoważenie i aktywność własna.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Periodyzacja rozwoju psychicznego.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 xml:space="preserve">Rozwój poznawczy w ciągu życia. Stadia rozwoju poznawczego według J. Piageta. </w:t>
            </w:r>
            <w:proofErr w:type="spellStart"/>
            <w:r w:rsidRPr="00AE1849">
              <w:rPr>
                <w:rFonts w:ascii="Corbel" w:hAnsi="Corbel"/>
                <w:sz w:val="24"/>
                <w:szCs w:val="24"/>
              </w:rPr>
              <w:t>Postformalne</w:t>
            </w:r>
            <w:proofErr w:type="spellEnd"/>
            <w:r w:rsidRPr="00AE1849">
              <w:rPr>
                <w:rFonts w:ascii="Corbel" w:hAnsi="Corbel"/>
                <w:sz w:val="24"/>
                <w:szCs w:val="24"/>
              </w:rPr>
              <w:t xml:space="preserve"> sposoby myślenia.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poznawczy w ciągu życia. Spostrzeganie, uwaga i pamięć. Szybkość przetwarzania informacji. Przyswajanie języka.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emocjonalny w cyklu życia.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 xml:space="preserve">Rozwój społeczny w ciągu życia. Społeczne przełomy życiowe. Stadia rozwoju psychospołecznego według E. </w:t>
            </w:r>
            <w:proofErr w:type="spellStart"/>
            <w:r w:rsidRPr="00AE1849">
              <w:rPr>
                <w:rFonts w:ascii="Corbel" w:hAnsi="Corbel"/>
                <w:sz w:val="24"/>
                <w:szCs w:val="24"/>
              </w:rPr>
              <w:t>Eriksona</w:t>
            </w:r>
            <w:proofErr w:type="spellEnd"/>
            <w:r w:rsidRPr="00AE184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 xml:space="preserve">Rozwój moralny w cyklu życia. Poznawczo-rozwojowa koncepcja rozwoju moralnego: teorie </w:t>
            </w:r>
            <w:r w:rsidRPr="00AE1849">
              <w:rPr>
                <w:rFonts w:ascii="Corbel" w:hAnsi="Corbel"/>
                <w:sz w:val="24"/>
                <w:szCs w:val="24"/>
              </w:rPr>
              <w:lastRenderedPageBreak/>
              <w:t xml:space="preserve">J. Piageta i L. </w:t>
            </w:r>
            <w:proofErr w:type="spellStart"/>
            <w:r w:rsidRPr="00AE1849">
              <w:rPr>
                <w:rFonts w:ascii="Corbel" w:hAnsi="Corbel"/>
                <w:sz w:val="24"/>
                <w:szCs w:val="24"/>
              </w:rPr>
              <w:t>Kohlberga</w:t>
            </w:r>
            <w:proofErr w:type="spellEnd"/>
            <w:r w:rsidRPr="00AE184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D77765" w:rsidRPr="00AE1849" w:rsidRDefault="00D77765" w:rsidP="00D77765">
      <w:pPr>
        <w:spacing w:after="0" w:line="240" w:lineRule="auto"/>
        <w:rPr>
          <w:rFonts w:ascii="Corbel" w:hAnsi="Corbel"/>
          <w:sz w:val="24"/>
          <w:szCs w:val="24"/>
        </w:rPr>
      </w:pPr>
    </w:p>
    <w:p w:rsidR="00D77765" w:rsidRPr="00AE1849" w:rsidRDefault="00D77765" w:rsidP="00D7776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prenatalny i faza noworodka. Osiągnięcia rozwojowe i przejawy życia psychicznego noworodka. Odruchy i czynności przystosowawcze noworodka. Rola wczesnych kontaktów matka – dziecko.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psychomotoryczny małego dziecka. Osiągnięcia rozwojowe wczesnego dzieciństwa. Rozwój ruchowy i jego wpływ na psychiczne funkcjonowanie dziecka. Aktywność poznawcza i społeczna. Potrzeby psychiczne i sposoby ich zaspokajania. Przejawy rozwoju emocjonalnego.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Wiek przedszkolny. Zadania i zdobycze rozwojowe dziecka w wieku przedszkolnym. Uspołecznienie w zabawie. Kierunki rozwoju uczuć. Psychologiczne kryteria dojrzałości szkolnej.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Młodszy wiek szkolny. Analiza czynników rozwoju dziecka. Rozwój funkcji poznawczych niezbędnych do uczenia się. Sposoby wywierania i przetwarzania wpływów wychowawczych, bezpośrednie i pośrednie sposoby transmisji. Interakcje społeczne i pełnienie ról w sytuacjach wychowawczych.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Adolescencja. Najważniejsze zmiany procesów poznawczych, rozwój emocjonalny, społeczny i osobowościowy. Kryzys tożsamości i jego rozwiązanie.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Przejawy rozwoju człowieka dorosłego. Wczesna, środkowa i późna dorosłość. Wchodzenie w dorosłość – podejmowanie nowych ról rodzinnych i zawodowych. Stabilizacja w rolach. Kryzys połowy życia. Adaptacja do starzenia się i starości. Śmierć jako zadanie rozwojowe.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>3.4 Metody dydaktyczne</w:t>
      </w:r>
      <w:r w:rsidRPr="00AE1849">
        <w:rPr>
          <w:rFonts w:ascii="Corbel" w:hAnsi="Corbel"/>
          <w:b w:val="0"/>
          <w:smallCaps w:val="0"/>
          <w:szCs w:val="24"/>
        </w:rPr>
        <w:t xml:space="preserve"> </w:t>
      </w:r>
    </w:p>
    <w:p w:rsidR="00D77765" w:rsidRPr="00AE1849" w:rsidRDefault="008E2B36" w:rsidP="00D77765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b w:val="0"/>
          <w:smallCaps w:val="0"/>
          <w:szCs w:val="24"/>
        </w:rPr>
        <w:t>w</w:t>
      </w:r>
      <w:r w:rsidR="00D77765" w:rsidRPr="00AE1849">
        <w:rPr>
          <w:rFonts w:ascii="Corbel" w:hAnsi="Corbel"/>
          <w:b w:val="0"/>
          <w:smallCaps w:val="0"/>
          <w:szCs w:val="24"/>
        </w:rPr>
        <w:t>ykład: wykład problemowy, wykład z prezentacją multimedialną.</w:t>
      </w:r>
    </w:p>
    <w:p w:rsidR="00D77765" w:rsidRPr="00AE1849" w:rsidRDefault="008E2B36" w:rsidP="00D7776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b w:val="0"/>
          <w:smallCaps w:val="0"/>
          <w:szCs w:val="24"/>
        </w:rPr>
        <w:t>ć</w:t>
      </w:r>
      <w:r w:rsidR="00D77765" w:rsidRPr="00AE1849">
        <w:rPr>
          <w:rFonts w:ascii="Corbel" w:hAnsi="Corbel"/>
          <w:b w:val="0"/>
          <w:smallCaps w:val="0"/>
          <w:szCs w:val="24"/>
        </w:rPr>
        <w:t>wiczenia: analiza tekstów z dyskusją, praca w grupach (studium przypadku, dyskusja, burza mózgów).</w:t>
      </w:r>
    </w:p>
    <w:p w:rsidR="00D77765" w:rsidRPr="00AE1849" w:rsidRDefault="00D77765" w:rsidP="00D777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77765" w:rsidRPr="00AE1849" w:rsidRDefault="00D77765" w:rsidP="00D777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77765" w:rsidRPr="00AE1849" w:rsidRDefault="00D77765" w:rsidP="00D777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 xml:space="preserve">4. METODY I KRYTERIA OCENY </w:t>
      </w:r>
    </w:p>
    <w:p w:rsidR="00D77765" w:rsidRPr="00AE1849" w:rsidRDefault="00D77765" w:rsidP="00D777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268"/>
        <w:gridCol w:w="2290"/>
      </w:tblGrid>
      <w:tr w:rsidR="00D77765" w:rsidRPr="00AE1849" w:rsidTr="00D77765">
        <w:tc>
          <w:tcPr>
            <w:tcW w:w="1962" w:type="dxa"/>
            <w:vAlign w:val="center"/>
          </w:tcPr>
          <w:p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8" w:type="dxa"/>
            <w:vAlign w:val="center"/>
          </w:tcPr>
          <w:p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90" w:type="dxa"/>
            <w:vAlign w:val="center"/>
          </w:tcPr>
          <w:p w:rsidR="00D77765" w:rsidRPr="00AE1849" w:rsidRDefault="00D77765" w:rsidP="00D901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77765" w:rsidRPr="00AE1849" w:rsidTr="00D77765">
        <w:tc>
          <w:tcPr>
            <w:tcW w:w="1962" w:type="dxa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268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290" w:type="dxa"/>
          </w:tcPr>
          <w:p w:rsidR="00D77765" w:rsidRPr="00AE1849" w:rsidRDefault="00D77765" w:rsidP="00D777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D77765" w:rsidRPr="00AE1849" w:rsidTr="00D77765">
        <w:tc>
          <w:tcPr>
            <w:tcW w:w="1962" w:type="dxa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68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praca pisemna, obserwacja w trakcie zajęć</w:t>
            </w:r>
          </w:p>
        </w:tc>
        <w:tc>
          <w:tcPr>
            <w:tcW w:w="2290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77765" w:rsidRPr="00AE1849" w:rsidTr="00D77765">
        <w:tc>
          <w:tcPr>
            <w:tcW w:w="1962" w:type="dxa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68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290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77765" w:rsidRPr="00AE1849" w:rsidTr="00D77765">
        <w:tc>
          <w:tcPr>
            <w:tcW w:w="1962" w:type="dxa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268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290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77765" w:rsidRPr="00AE1849" w:rsidTr="00604EA3">
        <w:tc>
          <w:tcPr>
            <w:tcW w:w="9670" w:type="dxa"/>
          </w:tcPr>
          <w:p w:rsidR="00D22D87" w:rsidRPr="00AE1849" w:rsidRDefault="00D22D87" w:rsidP="00D22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Egzamin pisemny w formie testu (0 – 50% pkt. –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; 51 – 60% pkt. -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; 61 – 70% pkt. - plus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; 71 – 80% pkt. -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; 81 – 90% plus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; 91 – 100% pkt. -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:rsidR="00D22D87" w:rsidRPr="00AE1849" w:rsidRDefault="00D22D87" w:rsidP="00D22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Wykład: obecność obowiązkowa, dopuszczalna jedna nieobecność nieusprawiedliwiona.</w:t>
            </w:r>
          </w:p>
          <w:p w:rsidR="00D22D87" w:rsidRPr="00AE1849" w:rsidRDefault="00D22D87" w:rsidP="00D22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Ćwiczenia: obecność obowiązkowa, dopuszczalna jedna nieobecność nieusprawiedliwiona; </w:t>
            </w:r>
          </w:p>
          <w:p w:rsidR="00D77765" w:rsidRPr="00AE1849" w:rsidRDefault="00D22D87" w:rsidP="00D22D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aktywność w trakcie zajęć, pozytywna ocena z kolokwium zaliczeniowego wg skali: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, plus,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</w:tc>
      </w:tr>
    </w:tbl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77765" w:rsidRPr="00AE1849" w:rsidRDefault="00D77765" w:rsidP="00D7776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E184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77765" w:rsidRPr="00AE1849" w:rsidTr="00604EA3">
        <w:tc>
          <w:tcPr>
            <w:tcW w:w="4962" w:type="dxa"/>
            <w:vAlign w:val="center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184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184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77765" w:rsidRPr="00AE1849" w:rsidTr="00604EA3">
        <w:tc>
          <w:tcPr>
            <w:tcW w:w="4962" w:type="dxa"/>
          </w:tcPr>
          <w:p w:rsidR="00D77765" w:rsidRPr="00AE1849" w:rsidRDefault="00D77765" w:rsidP="00F568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77765" w:rsidRPr="00AE1849" w:rsidTr="00604EA3">
        <w:tc>
          <w:tcPr>
            <w:tcW w:w="4962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77765" w:rsidRPr="00AE1849" w:rsidTr="00604EA3">
        <w:tc>
          <w:tcPr>
            <w:tcW w:w="4962" w:type="dxa"/>
          </w:tcPr>
          <w:p w:rsidR="00D77765" w:rsidRPr="00AE1849" w:rsidRDefault="00D77765" w:rsidP="00D777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E184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E1849">
              <w:rPr>
                <w:rFonts w:ascii="Corbel" w:hAnsi="Corbel"/>
                <w:sz w:val="24"/>
                <w:szCs w:val="24"/>
              </w:rPr>
              <w:t xml:space="preserve"> – praca własna studenta: przygotowanie do zajęć, egzaminu, lektura literatury, napisanie pracy</w:t>
            </w:r>
          </w:p>
        </w:tc>
        <w:tc>
          <w:tcPr>
            <w:tcW w:w="4677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D77765" w:rsidRPr="00AE1849" w:rsidTr="00604EA3">
        <w:tc>
          <w:tcPr>
            <w:tcW w:w="4962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77765" w:rsidRPr="00AE1849" w:rsidTr="00604EA3">
        <w:tc>
          <w:tcPr>
            <w:tcW w:w="4962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E184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1849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E184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D77765" w:rsidRPr="00AE1849" w:rsidTr="00D77765">
        <w:trPr>
          <w:trHeight w:val="397"/>
        </w:trPr>
        <w:tc>
          <w:tcPr>
            <w:tcW w:w="4111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D77765" w:rsidRPr="00AE1849" w:rsidRDefault="00D77765" w:rsidP="00A64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77765" w:rsidRPr="00AE1849" w:rsidTr="00D77765">
        <w:trPr>
          <w:trHeight w:val="397"/>
        </w:trPr>
        <w:tc>
          <w:tcPr>
            <w:tcW w:w="4111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D77765" w:rsidRPr="00AE1849" w:rsidRDefault="00D77765" w:rsidP="00A64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77765" w:rsidRPr="00AE1849" w:rsidTr="00D77765">
        <w:trPr>
          <w:trHeight w:val="397"/>
        </w:trPr>
        <w:tc>
          <w:tcPr>
            <w:tcW w:w="9639" w:type="dxa"/>
          </w:tcPr>
          <w:p w:rsidR="00D77765" w:rsidRPr="00AE1849" w:rsidRDefault="00D77765" w:rsidP="00D77765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77765" w:rsidRPr="00AE1849" w:rsidRDefault="00D77765" w:rsidP="00D7776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Brzezińska, A. I.,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Appelt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K., Ziółkowska, B. (2016). </w:t>
            </w:r>
            <w:r w:rsidRPr="00AE18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Psychologia rozwoju człowieka. </w:t>
            </w: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Sopot: GWP.</w:t>
            </w:r>
          </w:p>
          <w:p w:rsidR="00D77765" w:rsidRPr="00AE1849" w:rsidRDefault="00D77765" w:rsidP="00D7776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Trempała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J. (2018). </w:t>
            </w:r>
            <w:r w:rsidRPr="00AE18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rozwoju człowieka: podręcznik akademicki</w:t>
            </w: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 Warszawa: PWN.</w:t>
            </w:r>
          </w:p>
        </w:tc>
      </w:tr>
      <w:tr w:rsidR="00D77765" w:rsidRPr="00AE1849" w:rsidTr="00D77765">
        <w:trPr>
          <w:trHeight w:val="397"/>
        </w:trPr>
        <w:tc>
          <w:tcPr>
            <w:tcW w:w="9639" w:type="dxa"/>
          </w:tcPr>
          <w:p w:rsidR="00D77765" w:rsidRPr="00AE1849" w:rsidRDefault="00D77765" w:rsidP="00924DD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E184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77765" w:rsidRPr="00AE1849" w:rsidRDefault="00D77765" w:rsidP="00924DD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Hoffman, M.L. (2006). </w:t>
            </w:r>
            <w:r w:rsidRPr="00AE1849">
              <w:rPr>
                <w:rFonts w:ascii="Corbel" w:hAnsi="Corbel"/>
                <w:b w:val="0"/>
                <w:i/>
                <w:smallCaps w:val="0"/>
                <w:szCs w:val="24"/>
              </w:rPr>
              <w:t>Empatia i rozwój moralny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t>. Gdańsk: GWP.</w:t>
            </w:r>
          </w:p>
          <w:p w:rsidR="00D77765" w:rsidRPr="00AE1849" w:rsidRDefault="00D77765" w:rsidP="00924DD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Schaffer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, H.R. (2014). </w:t>
            </w:r>
            <w:r w:rsidRPr="00AE184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Psychologia dziecka. 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t>Warszawa: Wydawnictwo Naukowe PWN.</w:t>
            </w:r>
          </w:p>
          <w:p w:rsidR="00D77765" w:rsidRPr="00AE1849" w:rsidRDefault="00D77765" w:rsidP="00924DD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Oleś, P. K. (2014). </w:t>
            </w:r>
            <w:r w:rsidRPr="00AE1849">
              <w:rPr>
                <w:rFonts w:ascii="Corbel" w:hAnsi="Corbel"/>
                <w:b w:val="0"/>
                <w:i/>
                <w:smallCaps w:val="0"/>
                <w:szCs w:val="24"/>
              </w:rPr>
              <w:t>Psychologia człowieka dorosłego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t>. Warszawa: PWN.</w:t>
            </w:r>
          </w:p>
          <w:p w:rsidR="00D77765" w:rsidRPr="00AE1849" w:rsidRDefault="00D77765" w:rsidP="00924DD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Steuden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, S. (2011). </w:t>
            </w:r>
            <w:r w:rsidRPr="00AE1849">
              <w:rPr>
                <w:rFonts w:ascii="Corbel" w:hAnsi="Corbel"/>
                <w:b w:val="0"/>
                <w:i/>
                <w:smallCaps w:val="0"/>
                <w:szCs w:val="24"/>
              </w:rPr>
              <w:t>Psychologia starzenia się i starości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t>. Warszawa: PWN.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77765" w:rsidRPr="00AE1849" w:rsidRDefault="00D77765" w:rsidP="00924D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977D8" w:rsidRPr="00AE1849" w:rsidRDefault="004977D8" w:rsidP="00924D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977D8" w:rsidRPr="00AE1849" w:rsidRDefault="004977D8" w:rsidP="00924D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977D8" w:rsidRPr="00AE1849" w:rsidRDefault="004977D8" w:rsidP="004977D8">
      <w:pPr>
        <w:pStyle w:val="Punktygwne"/>
        <w:spacing w:before="0" w:after="0"/>
        <w:jc w:val="right"/>
        <w:rPr>
          <w:rFonts w:ascii="Corbel" w:hAnsi="Corbel"/>
          <w:szCs w:val="24"/>
        </w:rPr>
      </w:pPr>
    </w:p>
    <w:p w:rsidR="004E4E9D" w:rsidRPr="00AE1849" w:rsidRDefault="004E4E9D">
      <w:pPr>
        <w:rPr>
          <w:rFonts w:ascii="Corbel" w:hAnsi="Corbel"/>
          <w:sz w:val="24"/>
          <w:szCs w:val="24"/>
        </w:rPr>
      </w:pPr>
    </w:p>
    <w:sectPr w:rsidR="004E4E9D" w:rsidRPr="00AE184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92E" w:rsidRDefault="008F592E" w:rsidP="00D77765">
      <w:pPr>
        <w:spacing w:after="0" w:line="240" w:lineRule="auto"/>
      </w:pPr>
      <w:r>
        <w:separator/>
      </w:r>
    </w:p>
  </w:endnote>
  <w:endnote w:type="continuationSeparator" w:id="0">
    <w:p w:rsidR="008F592E" w:rsidRDefault="008F592E" w:rsidP="00D77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92E" w:rsidRDefault="008F592E" w:rsidP="00D77765">
      <w:pPr>
        <w:spacing w:after="0" w:line="240" w:lineRule="auto"/>
      </w:pPr>
      <w:r>
        <w:separator/>
      </w:r>
    </w:p>
  </w:footnote>
  <w:footnote w:type="continuationSeparator" w:id="0">
    <w:p w:rsidR="008F592E" w:rsidRDefault="008F592E" w:rsidP="00D77765">
      <w:pPr>
        <w:spacing w:after="0" w:line="240" w:lineRule="auto"/>
      </w:pPr>
      <w:r>
        <w:continuationSeparator/>
      </w:r>
    </w:p>
  </w:footnote>
  <w:footnote w:id="1">
    <w:p w:rsidR="00D77765" w:rsidRDefault="00D77765" w:rsidP="00D7776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7E3D33"/>
    <w:multiLevelType w:val="hybridMultilevel"/>
    <w:tmpl w:val="06DEB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607001"/>
    <w:multiLevelType w:val="hybridMultilevel"/>
    <w:tmpl w:val="413AA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7765"/>
    <w:rsid w:val="000A1681"/>
    <w:rsid w:val="001454B2"/>
    <w:rsid w:val="001F63DF"/>
    <w:rsid w:val="00246F86"/>
    <w:rsid w:val="00285980"/>
    <w:rsid w:val="002F46A9"/>
    <w:rsid w:val="004977D8"/>
    <w:rsid w:val="004E4E9D"/>
    <w:rsid w:val="00627916"/>
    <w:rsid w:val="00662FEA"/>
    <w:rsid w:val="00664DC6"/>
    <w:rsid w:val="006B6D02"/>
    <w:rsid w:val="006D3679"/>
    <w:rsid w:val="008758D4"/>
    <w:rsid w:val="008E2B36"/>
    <w:rsid w:val="008F0B05"/>
    <w:rsid w:val="008F592E"/>
    <w:rsid w:val="00924DD4"/>
    <w:rsid w:val="009A51C5"/>
    <w:rsid w:val="009D147C"/>
    <w:rsid w:val="00A647A4"/>
    <w:rsid w:val="00AE1849"/>
    <w:rsid w:val="00BD0621"/>
    <w:rsid w:val="00CD3823"/>
    <w:rsid w:val="00D22D87"/>
    <w:rsid w:val="00D77765"/>
    <w:rsid w:val="00D901FE"/>
    <w:rsid w:val="00DB4B7E"/>
    <w:rsid w:val="00E322E6"/>
    <w:rsid w:val="00F075A9"/>
    <w:rsid w:val="00F5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ED04A"/>
  <w15:docId w15:val="{B9B7BD8F-9C80-43A1-91FF-A4F607BD9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76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776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77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77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77765"/>
    <w:rPr>
      <w:vertAlign w:val="superscript"/>
    </w:rPr>
  </w:style>
  <w:style w:type="paragraph" w:customStyle="1" w:styleId="Punktygwne">
    <w:name w:val="Punkty główne"/>
    <w:basedOn w:val="Normalny"/>
    <w:rsid w:val="00D7776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7776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7776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7776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7776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7776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7776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7776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77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776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7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77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9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1036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2020-02-19T20:44:00Z</dcterms:created>
  <dcterms:modified xsi:type="dcterms:W3CDTF">2023-05-18T11:16:00Z</dcterms:modified>
</cp:coreProperties>
</file>