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87731" w14:textId="77777777" w:rsidR="00582540" w:rsidRDefault="00997F14" w:rsidP="00582540">
      <w:pPr>
        <w:spacing w:line="240" w:lineRule="auto"/>
        <w:jc w:val="right"/>
        <w:rPr>
          <w:rFonts w:ascii="Corbel" w:hAnsi="Corbel"/>
          <w:bCs/>
          <w:i/>
        </w:rPr>
      </w:pPr>
      <w:r w:rsidRPr="5D93EF4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2540">
        <w:rPr>
          <w:rFonts w:ascii="Corbel" w:hAnsi="Corbel"/>
          <w:bCs/>
          <w:i/>
        </w:rPr>
        <w:t>Załącznik nr 1.5 do Zarządzenia Rektora UR nr 7/2023</w:t>
      </w:r>
    </w:p>
    <w:p w14:paraId="19C15664" w14:textId="77777777" w:rsidR="00582540" w:rsidRDefault="00582540" w:rsidP="005825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91BE7A9" w14:textId="77777777" w:rsidR="00582540" w:rsidRDefault="00582540" w:rsidP="005825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2E93141D" w14:textId="77777777" w:rsidR="00582540" w:rsidRDefault="00582540" w:rsidP="0058254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A37501D" w14:textId="2E1CF664" w:rsidR="0085747A" w:rsidRDefault="00582540" w:rsidP="0058254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282514B3" w14:textId="77777777" w:rsidR="00582540" w:rsidRPr="009C54AE" w:rsidRDefault="0058254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2BA7B6" w14:textId="77777777" w:rsidTr="5D93EF40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CE5533" w14:textId="77777777" w:rsidR="0085747A" w:rsidRPr="003E6378" w:rsidRDefault="00B2602D" w:rsidP="5D93E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</w:pPr>
            <w:r w:rsidRPr="5D93EF40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Instytucje U</w:t>
            </w:r>
            <w:r w:rsidR="003E6378" w:rsidRPr="5D93EF40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nii Europejskiej</w:t>
            </w:r>
          </w:p>
        </w:tc>
      </w:tr>
      <w:tr w:rsidR="0085747A" w:rsidRPr="009C54AE" w14:paraId="6793E9E4" w14:textId="77777777" w:rsidTr="5D93EF40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355C7" w14:textId="77777777" w:rsidR="0085747A" w:rsidRPr="003E6378" w:rsidRDefault="003E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MK_19</w:t>
            </w:r>
          </w:p>
        </w:tc>
      </w:tr>
      <w:tr w:rsidR="0085747A" w:rsidRPr="009C54AE" w14:paraId="5C0172EC" w14:textId="77777777" w:rsidTr="5D93EF40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3E6378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52EF737E" w14:textId="77777777" w:rsidTr="5D93EF40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6A6FFCF1" w:rsidR="0085747A" w:rsidRPr="003E6378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5D93EF40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Instytut Nauk Prawnych</w:t>
            </w:r>
          </w:p>
        </w:tc>
      </w:tr>
      <w:tr w:rsidR="0085747A" w:rsidRPr="009C54AE" w14:paraId="58415E7B" w14:textId="77777777" w:rsidTr="5D93EF40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3E6378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Stosunki międzynarodowe</w:t>
            </w:r>
          </w:p>
        </w:tc>
      </w:tr>
      <w:tr w:rsidR="0085747A" w:rsidRPr="009C54AE" w14:paraId="11529C0C" w14:textId="77777777" w:rsidTr="5D93EF40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3E6378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Studia I stopnia</w:t>
            </w:r>
          </w:p>
        </w:tc>
      </w:tr>
      <w:tr w:rsidR="0085747A" w:rsidRPr="009C54AE" w14:paraId="020B26A7" w14:textId="77777777" w:rsidTr="5D93EF40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3E6378" w:rsidRDefault="003E6378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ogólnoakademicki</w:t>
            </w:r>
          </w:p>
        </w:tc>
      </w:tr>
      <w:tr w:rsidR="0085747A" w:rsidRPr="009C54AE" w14:paraId="5C70B2EB" w14:textId="77777777" w:rsidTr="5D93EF40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3E6378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3CA2651D" w14:textId="77777777" w:rsidTr="5D93EF40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04B3A" w14:textId="48181996" w:rsidR="0085747A" w:rsidRPr="003E6378" w:rsidRDefault="00B2602D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II</w:t>
            </w:r>
            <w:r w:rsidR="008A66EF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/ </w:t>
            </w: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IV</w:t>
            </w:r>
          </w:p>
        </w:tc>
      </w:tr>
      <w:tr w:rsidR="0085747A" w:rsidRPr="009C54AE" w14:paraId="69EA273B" w14:textId="77777777" w:rsidTr="5D93EF40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3E6378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3E6378">
              <w:rPr>
                <w:rFonts w:ascii="Corbel" w:hAnsi="Corbel" w:cs="Courier New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5D93EF40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3E6378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3E6378">
              <w:rPr>
                <w:rFonts w:ascii="Corbel" w:hAnsi="Corbel" w:cs="Courier New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43895" w14:textId="77777777" w:rsidTr="5D93EF40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77777777" w:rsidR="0085747A" w:rsidRPr="003E6378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 hab. Lidia Brodowski, prof. UR</w:t>
            </w:r>
          </w:p>
        </w:tc>
      </w:tr>
      <w:tr w:rsidR="0085747A" w:rsidRPr="009C54AE" w14:paraId="13F6FA47" w14:textId="77777777" w:rsidTr="5D93EF40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DDD793" w14:textId="7291101B" w:rsidR="0085747A" w:rsidRPr="003E6378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 Anna Marcisz – Dynia,</w:t>
            </w:r>
            <w:r w:rsidR="00582540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d</w:t>
            </w: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r Sabina Kubas 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  <w:bookmarkStart w:id="0" w:name="_GoBack"/>
      <w:bookmarkEnd w:id="0"/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15"/>
        <w:gridCol w:w="765"/>
        <w:gridCol w:w="960"/>
        <w:gridCol w:w="720"/>
        <w:gridCol w:w="900"/>
        <w:gridCol w:w="660"/>
        <w:gridCol w:w="960"/>
        <w:gridCol w:w="1058"/>
        <w:gridCol w:w="1505"/>
      </w:tblGrid>
      <w:tr w:rsidR="00015B8F" w:rsidRPr="009C54AE" w14:paraId="4A00F406" w14:textId="77777777" w:rsidTr="004E3314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4E331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C692D6" w14:textId="77777777" w:rsidTr="004E3314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015B8F" w:rsidRPr="009C54AE" w:rsidRDefault="00B2602D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3E6378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260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3E6378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478A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E1378B" w:rsidP="004E3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500F38" w14:textId="77777777" w:rsidR="0085747A" w:rsidRPr="00D15EE9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5EE9">
        <w:rPr>
          <w:rFonts w:ascii="Segoe UI Symbol" w:eastAsia="MS Gothic" w:hAnsi="Segoe UI Symbol" w:cs="Segoe UI Symbol"/>
          <w:b w:val="0"/>
          <w:color w:val="000000"/>
          <w:szCs w:val="24"/>
        </w:rPr>
        <w:t>✓</w:t>
      </w:r>
      <w:r w:rsidR="0085747A" w:rsidRPr="00D15EE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42827B" w14:textId="77777777" w:rsidR="0085747A" w:rsidRPr="00D15EE9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5EE9">
        <w:rPr>
          <w:rFonts w:ascii="Segoe UI Symbol" w:eastAsia="MS Gothic" w:hAnsi="Segoe UI Symbol" w:cs="Segoe UI Symbol"/>
          <w:b w:val="0"/>
          <w:szCs w:val="24"/>
        </w:rPr>
        <w:t>✓</w:t>
      </w:r>
      <w:r w:rsidR="0085747A" w:rsidRPr="00D15EE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9DE01D1" w:rsidR="00E22FBC" w:rsidRPr="009C54AE" w:rsidRDefault="00E22FBC" w:rsidP="475203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752035C">
        <w:rPr>
          <w:rFonts w:ascii="Corbel" w:hAnsi="Corbel"/>
          <w:smallCaps w:val="0"/>
        </w:rPr>
        <w:t xml:space="preserve">1.3 </w:t>
      </w:r>
      <w:r>
        <w:tab/>
      </w:r>
      <w:r w:rsidRPr="4752035C">
        <w:rPr>
          <w:rFonts w:ascii="Corbel" w:hAnsi="Corbel"/>
          <w:smallCaps w:val="0"/>
        </w:rPr>
        <w:t>For</w:t>
      </w:r>
      <w:r w:rsidR="00445970" w:rsidRPr="4752035C">
        <w:rPr>
          <w:rFonts w:ascii="Corbel" w:hAnsi="Corbel"/>
          <w:smallCaps w:val="0"/>
        </w:rPr>
        <w:t>ma zaliczenia przedmiotu</w:t>
      </w:r>
      <w:r w:rsidRPr="4752035C">
        <w:rPr>
          <w:rFonts w:ascii="Corbel" w:hAnsi="Corbel"/>
          <w:smallCaps w:val="0"/>
        </w:rPr>
        <w:t xml:space="preserve"> (z toku) </w:t>
      </w:r>
      <w:r w:rsidRPr="4752035C">
        <w:rPr>
          <w:rFonts w:ascii="Corbel" w:hAnsi="Corbel"/>
          <w:b w:val="0"/>
          <w:smallCaps w:val="0"/>
        </w:rPr>
        <w:t>(egzamin, zaliczenie z oceną, zaliczenie bez oceny)</w:t>
      </w:r>
    </w:p>
    <w:p w14:paraId="7E6B9003" w14:textId="77777777" w:rsidR="00E1378B" w:rsidRPr="00D15EE9" w:rsidRDefault="00E1378B" w:rsidP="00E137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D15EE9">
        <w:rPr>
          <w:rFonts w:ascii="Corbel" w:eastAsia="Cambria" w:hAnsi="Corbel"/>
          <w:sz w:val="24"/>
        </w:rPr>
        <w:t>wykład – egzamin - test</w:t>
      </w:r>
    </w:p>
    <w:p w14:paraId="23602369" w14:textId="77777777" w:rsidR="00E1378B" w:rsidRPr="00D15EE9" w:rsidRDefault="00E1378B" w:rsidP="00E137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D15EE9">
        <w:rPr>
          <w:rFonts w:ascii="Corbel" w:eastAsia="Cambria" w:hAnsi="Corbel"/>
          <w:sz w:val="24"/>
        </w:rPr>
        <w:t>ćwiczenia- zaliczenie z oceną - test</w:t>
      </w:r>
    </w:p>
    <w:p w14:paraId="3CF2D8B6" w14:textId="77777777" w:rsidR="00E1378B" w:rsidRPr="00D15EE9" w:rsidRDefault="00E1378B" w:rsidP="00E1378B">
      <w:pPr>
        <w:spacing w:after="0" w:line="240" w:lineRule="auto"/>
        <w:ind w:left="720"/>
        <w:contextualSpacing/>
        <w:jc w:val="both"/>
        <w:rPr>
          <w:rFonts w:ascii="Corbel" w:eastAsia="Cambria" w:hAnsi="Corbel"/>
          <w:sz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D93EF40">
        <w:rPr>
          <w:rFonts w:ascii="Corbel" w:hAnsi="Corbel"/>
        </w:rPr>
        <w:t xml:space="preserve">2.Wymagania wstępne </w:t>
      </w:r>
    </w:p>
    <w:p w14:paraId="6760AE79" w14:textId="1BFDC733" w:rsidR="5D93EF40" w:rsidRDefault="5D93EF40" w:rsidP="5D93EF40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5EE9" w14:paraId="65F884EF" w14:textId="77777777" w:rsidTr="00745302">
        <w:tc>
          <w:tcPr>
            <w:tcW w:w="9670" w:type="dxa"/>
          </w:tcPr>
          <w:p w14:paraId="483D41B7" w14:textId="77777777" w:rsidR="0085747A" w:rsidRPr="00D15EE9" w:rsidRDefault="0048467C" w:rsidP="0048467C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D15EE9">
              <w:rPr>
                <w:rFonts w:ascii="Corbel" w:hAnsi="Corbel"/>
                <w:b w:val="0"/>
                <w:color w:val="000000"/>
                <w:szCs w:val="24"/>
              </w:rPr>
              <w:t>Podstawowa wiedza z zakresu wstępu do prawoznawstwa</w:t>
            </w:r>
          </w:p>
        </w:tc>
      </w:tr>
    </w:tbl>
    <w:p w14:paraId="0562CB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258B1BE8" w:rsidR="0085747A" w:rsidRPr="00C05F44" w:rsidRDefault="0071620A" w:rsidP="4752035C">
      <w:pPr>
        <w:pStyle w:val="Punktygwne"/>
        <w:spacing w:before="0" w:after="0"/>
        <w:rPr>
          <w:rFonts w:ascii="Corbel" w:hAnsi="Corbel"/>
        </w:rPr>
      </w:pPr>
      <w:r w:rsidRPr="4752035C">
        <w:rPr>
          <w:rFonts w:ascii="Corbel" w:hAnsi="Corbel"/>
        </w:rPr>
        <w:lastRenderedPageBreak/>
        <w:t>3.</w:t>
      </w:r>
      <w:r w:rsidR="0085747A" w:rsidRPr="4752035C">
        <w:rPr>
          <w:rFonts w:ascii="Corbel" w:hAnsi="Corbel"/>
        </w:rPr>
        <w:t xml:space="preserve"> </w:t>
      </w:r>
      <w:r w:rsidR="00A84C85" w:rsidRPr="4752035C">
        <w:rPr>
          <w:rFonts w:ascii="Corbel" w:hAnsi="Corbel"/>
        </w:rPr>
        <w:t>cele, efekty uczenia się</w:t>
      </w:r>
      <w:r w:rsidR="0085747A" w:rsidRPr="4752035C">
        <w:rPr>
          <w:rFonts w:ascii="Corbel" w:hAnsi="Corbel"/>
        </w:rPr>
        <w:t>, treści Programowe i stosowane metody Dydaktyczne</w:t>
      </w:r>
    </w:p>
    <w:p w14:paraId="34CE0A4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EBF3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968"/>
      </w:tblGrid>
      <w:tr w:rsidR="00B2602D" w:rsidRPr="00632618" w14:paraId="2540DA42" w14:textId="77777777" w:rsidTr="1661FB5D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B5A4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A12B" w14:textId="4BACB2D2" w:rsidR="00B2602D" w:rsidRPr="00B2602D" w:rsidRDefault="00B2602D" w:rsidP="5D93EF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661FB5D">
              <w:rPr>
                <w:rFonts w:ascii="Corbel" w:hAnsi="Corbel"/>
                <w:b w:val="0"/>
                <w:sz w:val="24"/>
                <w:szCs w:val="24"/>
              </w:rPr>
              <w:t>Przedstawienie historii integracji europejskiej na podstawie wybranych traktatów o</w:t>
            </w:r>
            <w:r w:rsidR="47F57A7D" w:rsidRPr="1661FB5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661FB5D">
              <w:rPr>
                <w:rFonts w:ascii="Corbel" w:hAnsi="Corbel"/>
                <w:b w:val="0"/>
                <w:sz w:val="24"/>
                <w:szCs w:val="24"/>
              </w:rPr>
              <w:t xml:space="preserve">charakterze założycielskim, modyfikującym i akcesyjnym. </w:t>
            </w:r>
          </w:p>
        </w:tc>
      </w:tr>
      <w:tr w:rsidR="00B2602D" w:rsidRPr="00632618" w14:paraId="47D41995" w14:textId="77777777" w:rsidTr="1661FB5D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7E8" w14:textId="77777777" w:rsidR="00B2602D" w:rsidRPr="00B2602D" w:rsidRDefault="00B2602D" w:rsidP="00B2602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DB82" w14:textId="34D8BCF8" w:rsidR="00B2602D" w:rsidRPr="00B2602D" w:rsidRDefault="00B2602D" w:rsidP="5D93EF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D93EF40">
              <w:rPr>
                <w:rFonts w:ascii="Corbel" w:hAnsi="Corbel"/>
                <w:b w:val="0"/>
                <w:sz w:val="24"/>
                <w:szCs w:val="24"/>
              </w:rPr>
              <w:t>Omówienie charakteru prawnego Wspólnoty Europejskiej oraz Unii Europejskiej na podstawie wybranego orzecznictwa Trybunału Sprawiedliwości Unii Europejskiej.</w:t>
            </w:r>
          </w:p>
        </w:tc>
      </w:tr>
      <w:tr w:rsidR="00B2602D" w:rsidRPr="00632618" w14:paraId="2A27716C" w14:textId="77777777" w:rsidTr="1661FB5D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CC1D" w14:textId="077418DD" w:rsidR="00B2602D" w:rsidRPr="00B2602D" w:rsidRDefault="00B2602D" w:rsidP="5D93EF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D93EF40">
              <w:rPr>
                <w:rFonts w:ascii="Corbel" w:hAnsi="Corbel"/>
                <w:b w:val="0"/>
                <w:sz w:val="24"/>
                <w:szCs w:val="24"/>
              </w:rPr>
              <w:t xml:space="preserve">Omówienie celów UE i podziału kompetencji pomiędzy Unię Europejską a państwa członkowskie UE. </w:t>
            </w:r>
          </w:p>
        </w:tc>
      </w:tr>
      <w:tr w:rsidR="00B2602D" w:rsidRPr="00632618" w14:paraId="5E9F77AF" w14:textId="77777777" w:rsidTr="1661FB5D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D37" w14:textId="52EDD2E2" w:rsidR="00B2602D" w:rsidRPr="00B2602D" w:rsidRDefault="00B2602D" w:rsidP="5D93EF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D93EF40">
              <w:rPr>
                <w:rFonts w:ascii="Corbel" w:hAnsi="Corbel"/>
                <w:b w:val="0"/>
                <w:sz w:val="24"/>
                <w:szCs w:val="24"/>
              </w:rPr>
              <w:t xml:space="preserve">Omówienie wartości na których opiera się Unia Europejska (art. 2 TUE) oraz konsekwencji naruszenia tych wartości (procedura z art. 7 TUE). </w:t>
            </w:r>
          </w:p>
        </w:tc>
      </w:tr>
      <w:tr w:rsidR="00B2602D" w:rsidRPr="00632618" w14:paraId="7F07B9D9" w14:textId="77777777" w:rsidTr="1661FB5D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9379" w14:textId="358F16F7" w:rsidR="00B2602D" w:rsidRPr="00B2602D" w:rsidRDefault="00B2602D" w:rsidP="5D93EF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D93EF40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instytucji Unii Europejskiej ze szczególnym uwzględnieniem ich roli w tworzeniu i stosowaniu prawa UE. </w:t>
            </w:r>
          </w:p>
        </w:tc>
      </w:tr>
      <w:tr w:rsidR="00B2602D" w:rsidRPr="00632618" w14:paraId="6CFE0974" w14:textId="77777777" w:rsidTr="1661FB5D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D6C2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F23F" w14:textId="1D537A20" w:rsidR="00B2602D" w:rsidRPr="00B2602D" w:rsidRDefault="00B2602D" w:rsidP="5D93EF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D93EF40">
              <w:rPr>
                <w:rFonts w:ascii="Corbel" w:hAnsi="Corbel"/>
                <w:b w:val="0"/>
                <w:sz w:val="24"/>
                <w:szCs w:val="24"/>
              </w:rPr>
              <w:t xml:space="preserve">Przedstawienie zasad stosowania prawa UE na płaszczyźnie krajowej. </w:t>
            </w:r>
          </w:p>
        </w:tc>
      </w:tr>
      <w:tr w:rsidR="00B2602D" w:rsidRPr="00632618" w14:paraId="1F28385F" w14:textId="77777777" w:rsidTr="1661FB5D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90A8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63D" w14:textId="77777777" w:rsidR="00B2602D" w:rsidRPr="00B2602D" w:rsidRDefault="00B2602D" w:rsidP="5D93EF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D93EF40">
              <w:rPr>
                <w:rFonts w:ascii="Corbel" w:hAnsi="Corbel"/>
                <w:b w:val="0"/>
                <w:sz w:val="24"/>
                <w:szCs w:val="24"/>
              </w:rPr>
              <w:t>Charakterystyka elementów sądowej kontroli przestrzegania prawa w UE: postępowanie przeciwko państwu członkowskiemu o naruszenie zobowiązania ciążącego na nim na mocy traktatów, skarga na nieważność aktu prawa pochodnego, skarga na bezczynność instytucji, skarga odszkodowawcza.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CE6F9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5D93EF40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602D" w:rsidRPr="00632618" w14:paraId="3F661A66" w14:textId="77777777" w:rsidTr="5D93EF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D47" w14:textId="77777777" w:rsidR="00B2602D" w:rsidRPr="00B2602D" w:rsidRDefault="27E484C7" w:rsidP="5D93EF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D93EF40">
              <w:rPr>
                <w:rFonts w:ascii="Corbel" w:hAnsi="Corbel"/>
                <w:b w:val="0"/>
                <w:smallCaps w:val="0"/>
              </w:rPr>
              <w:t>Zna i rozumie</w:t>
            </w:r>
            <w:r w:rsidR="00B2602D" w:rsidRPr="5D93EF40">
              <w:rPr>
                <w:rFonts w:ascii="Corbel" w:hAnsi="Corbel"/>
                <w:b w:val="0"/>
                <w:smallCaps w:val="0"/>
              </w:rPr>
              <w:t xml:space="preserve"> jaką rolę spełnia prawo Unii Europejskiej oraz jakie jest miejsce tego prawa w porządku ustrojowym Rzeczypospolitej Polskiej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C99A" w14:textId="77777777" w:rsidR="00C27B41" w:rsidRDefault="00C27B41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  <w:p w14:paraId="0AD3A7D1" w14:textId="77777777" w:rsidR="00C27B41" w:rsidRPr="00B2602D" w:rsidRDefault="00C27B41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</w:tc>
      </w:tr>
      <w:tr w:rsidR="00B2602D" w:rsidRPr="00632618" w14:paraId="0CD347C2" w14:textId="77777777" w:rsidTr="5D93EF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30AD" w14:textId="77777777" w:rsidR="00B2602D" w:rsidRPr="00B2602D" w:rsidRDefault="27E484C7" w:rsidP="5D93EF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D93EF40">
              <w:rPr>
                <w:rFonts w:ascii="Corbel" w:hAnsi="Corbel"/>
                <w:b w:val="0"/>
                <w:smallCaps w:val="0"/>
              </w:rPr>
              <w:t>Zna i rozumie</w:t>
            </w:r>
            <w:r w:rsidR="00B2602D" w:rsidRPr="5D93EF40">
              <w:rPr>
                <w:rFonts w:ascii="Corbel" w:hAnsi="Corbel"/>
                <w:b w:val="0"/>
                <w:smallCaps w:val="0"/>
              </w:rPr>
              <w:t xml:space="preserve"> różnice pomiędzy prawem Unii Europejskiej a prawem międzynarodowym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2A2F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357D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27B4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1355498" w14:textId="77777777" w:rsidR="00C27B41" w:rsidRPr="00B2602D" w:rsidRDefault="00C27B41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</w:tc>
      </w:tr>
      <w:tr w:rsidR="00B2602D" w:rsidRPr="00632618" w14:paraId="5D3923B8" w14:textId="77777777" w:rsidTr="5D93EF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363C" w14:textId="77777777" w:rsidR="00B2602D" w:rsidRPr="00B2602D" w:rsidRDefault="27E484C7" w:rsidP="5D93EF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D93EF40">
              <w:rPr>
                <w:rFonts w:ascii="Corbel" w:hAnsi="Corbel"/>
                <w:b w:val="0"/>
                <w:smallCaps w:val="0"/>
              </w:rPr>
              <w:t>Zna i rozumie</w:t>
            </w:r>
            <w:r w:rsidR="00B2602D" w:rsidRPr="5D93EF40">
              <w:rPr>
                <w:rFonts w:ascii="Corbel" w:hAnsi="Corbel"/>
                <w:b w:val="0"/>
                <w:smallCaps w:val="0"/>
              </w:rPr>
              <w:t xml:space="preserve"> główne instytucje Unii Europejskiej oraz potrafi wskazać ich rolę w procesie decyzyjnym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BC0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357D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27B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1A75E0E" w14:textId="77777777" w:rsidR="00C27B41" w:rsidRP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357D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B2602D" w:rsidRPr="00632618" w14:paraId="7CFB506E" w14:textId="77777777" w:rsidTr="5D93EF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0720" w14:textId="77777777" w:rsidR="00B2602D" w:rsidRPr="00B2602D" w:rsidRDefault="27E484C7" w:rsidP="5D93EF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D93EF40">
              <w:rPr>
                <w:rFonts w:ascii="Corbel" w:hAnsi="Corbel"/>
                <w:b w:val="0"/>
                <w:smallCaps w:val="0"/>
              </w:rPr>
              <w:t>Potrafi s</w:t>
            </w:r>
            <w:r w:rsidR="00B2602D" w:rsidRPr="5D93EF40">
              <w:rPr>
                <w:rFonts w:ascii="Corbel" w:hAnsi="Corbel"/>
                <w:b w:val="0"/>
                <w:smallCaps w:val="0"/>
              </w:rPr>
              <w:t>charakteryz</w:t>
            </w:r>
            <w:r w:rsidRPr="5D93EF40">
              <w:rPr>
                <w:rFonts w:ascii="Corbel" w:hAnsi="Corbel"/>
                <w:b w:val="0"/>
                <w:smallCaps w:val="0"/>
              </w:rPr>
              <w:t>ować</w:t>
            </w:r>
            <w:r w:rsidR="00B2602D" w:rsidRPr="5D93EF40">
              <w:rPr>
                <w:rFonts w:ascii="Corbel" w:hAnsi="Corbel"/>
                <w:b w:val="0"/>
                <w:smallCaps w:val="0"/>
              </w:rPr>
              <w:t xml:space="preserve"> zagadnienia poszczególnych działów prawa Unii Europejskiej oraz potrafi formułować własne wnioski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627F" w14:textId="77777777" w:rsidR="00B2602D" w:rsidRDefault="00B2602D" w:rsidP="00FB29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C357D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E1AB1AD" w14:textId="77777777" w:rsidR="00C27B41" w:rsidRPr="00B2602D" w:rsidRDefault="00C27B41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K_U07,</w:t>
            </w:r>
          </w:p>
        </w:tc>
      </w:tr>
      <w:tr w:rsidR="00B2602D" w:rsidRPr="00632618" w14:paraId="5ABEFBB8" w14:textId="77777777" w:rsidTr="5D93EF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B298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5F79" w14:textId="77777777" w:rsidR="00B2602D" w:rsidRPr="00B2602D" w:rsidRDefault="27E484C7" w:rsidP="5D93EF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D93EF40">
              <w:rPr>
                <w:rFonts w:ascii="Corbel" w:hAnsi="Corbel"/>
                <w:b w:val="0"/>
                <w:smallCaps w:val="0"/>
              </w:rPr>
              <w:t xml:space="preserve">Jest gotów </w:t>
            </w:r>
            <w:r w:rsidR="00B2602D" w:rsidRPr="5D93EF40">
              <w:rPr>
                <w:rFonts w:ascii="Corbel" w:hAnsi="Corbel"/>
                <w:b w:val="0"/>
                <w:smallCaps w:val="0"/>
              </w:rPr>
              <w:t>oceni</w:t>
            </w:r>
            <w:r w:rsidRPr="5D93EF40">
              <w:rPr>
                <w:rFonts w:ascii="Corbel" w:hAnsi="Corbel"/>
                <w:b w:val="0"/>
                <w:smallCaps w:val="0"/>
              </w:rPr>
              <w:t>ć</w:t>
            </w:r>
            <w:r w:rsidR="00B2602D" w:rsidRPr="5D93EF40">
              <w:rPr>
                <w:rFonts w:ascii="Corbel" w:hAnsi="Corbel"/>
                <w:b w:val="0"/>
                <w:smallCaps w:val="0"/>
              </w:rPr>
              <w:t xml:space="preserve"> stan faktyczny w świetle odpowiednich regulacji prawa Unii Europejskiej oraz wybranego orzecznictwa Trybunału Sprawiedliwości UE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C27B41" w:rsidRPr="00B2602D" w:rsidRDefault="00C27B41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2602D" w:rsidRPr="00632618" w14:paraId="7F3F0641" w14:textId="77777777" w:rsidTr="5D93EF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B2988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6008" w14:textId="77777777" w:rsidR="00B2602D" w:rsidRPr="00B2602D" w:rsidRDefault="27E484C7" w:rsidP="5D93EF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D93EF40">
              <w:rPr>
                <w:rFonts w:ascii="Corbel" w:hAnsi="Corbel"/>
                <w:b w:val="0"/>
                <w:smallCaps w:val="0"/>
              </w:rPr>
              <w:t>Jest gotów</w:t>
            </w:r>
            <w:r w:rsidR="00B2602D" w:rsidRPr="5D93EF40">
              <w:rPr>
                <w:rFonts w:ascii="Corbel" w:hAnsi="Corbel"/>
                <w:b w:val="0"/>
                <w:smallCaps w:val="0"/>
              </w:rPr>
              <w:t xml:space="preserve"> dokonywa</w:t>
            </w:r>
            <w:r w:rsidRPr="5D93EF40">
              <w:rPr>
                <w:rFonts w:ascii="Corbel" w:hAnsi="Corbel"/>
                <w:b w:val="0"/>
                <w:smallCaps w:val="0"/>
              </w:rPr>
              <w:t>ć subsumpcji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B4C3" w14:textId="77777777" w:rsidR="00214BE8" w:rsidRPr="00B2602D" w:rsidRDefault="00214BE8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E6378">
              <w:rPr>
                <w:rFonts w:ascii="Corbel" w:hAnsi="Corbel"/>
                <w:b w:val="0"/>
                <w:smallCaps w:val="0"/>
                <w:szCs w:val="24"/>
              </w:rPr>
              <w:t>_U07</w:t>
            </w:r>
          </w:p>
        </w:tc>
      </w:tr>
    </w:tbl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B9E253" w14:textId="77777777" w:rsidR="00B35F46" w:rsidRPr="009C54AE" w:rsidRDefault="00B35F46" w:rsidP="00B35F4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2988" w:rsidRPr="00D15EE9" w14:paraId="3A3AF27E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C2EA" w14:textId="77777777" w:rsidR="00FB2988" w:rsidRPr="00D15EE9" w:rsidRDefault="6022D394" w:rsidP="5D93EF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D93EF40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FB2988" w:rsidRPr="00D15EE9" w14:paraId="0BA828AF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1AD2" w14:textId="77777777" w:rsidR="00FB2988" w:rsidRPr="00D15EE9" w:rsidRDefault="6022D394" w:rsidP="5D93EF4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93EF40">
              <w:rPr>
                <w:rFonts w:ascii="Corbel" w:hAnsi="Corbel"/>
                <w:sz w:val="24"/>
                <w:szCs w:val="24"/>
              </w:rPr>
              <w:lastRenderedPageBreak/>
              <w:t xml:space="preserve">Ogólna charakterystyka wewnętrznej struktury organizacji międzynarodowych, zadań realizowanych przez poszczególne organy i instytucje, sposobu ich powoływania oraz statusu wchodzących w ich skład osób </w:t>
            </w:r>
          </w:p>
        </w:tc>
      </w:tr>
      <w:tr w:rsidR="00FB2988" w:rsidRPr="00D15EE9" w14:paraId="68A4D6A3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B43D" w14:textId="77777777" w:rsidR="00FB2988" w:rsidRPr="00D15EE9" w:rsidRDefault="6022D394" w:rsidP="5D93EF4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93EF40">
              <w:rPr>
                <w:rFonts w:ascii="Corbel" w:hAnsi="Corbel"/>
                <w:sz w:val="24"/>
                <w:szCs w:val="24"/>
              </w:rPr>
              <w:t>Charakterystyka Parlamentu Europejskiego, jego składu osobowego i statusu członków, sposobu powoływania deputowanych, struktury wewnętrznej, organizacji pracy, trybu podejmowania decyzji, realizowanych funkcji i zadań</w:t>
            </w:r>
          </w:p>
        </w:tc>
      </w:tr>
      <w:tr w:rsidR="00FB2988" w:rsidRPr="00D15EE9" w14:paraId="01775ECE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BABF" w14:textId="17BF3387" w:rsidR="00FB2988" w:rsidRPr="00D15EE9" w:rsidRDefault="6022D394" w:rsidP="5D93EF4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93EF40">
              <w:rPr>
                <w:rFonts w:ascii="Corbel" w:hAnsi="Corbel"/>
                <w:sz w:val="24"/>
                <w:szCs w:val="24"/>
              </w:rPr>
              <w:t>Charakterystyka Rady Europejskiej, jej składu osobowego i statusu członków, struktury wewnętrznej oraz organizacji pracy, realizowanych funkcji i zadań, a także roli w wyznaczaniu kierunków i tempa procesów integracyjnych w Europie</w:t>
            </w:r>
          </w:p>
        </w:tc>
      </w:tr>
      <w:tr w:rsidR="00FB2988" w:rsidRPr="00D15EE9" w14:paraId="22805CE6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777F" w14:textId="676D4F67" w:rsidR="00FB2988" w:rsidRPr="00D15EE9" w:rsidRDefault="6022D394" w:rsidP="5D93EF4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93EF40">
              <w:rPr>
                <w:rFonts w:ascii="Corbel" w:hAnsi="Corbel"/>
                <w:sz w:val="24"/>
                <w:szCs w:val="24"/>
              </w:rPr>
              <w:t>Charakterystyka Komisji Europejskiej, sposobu jej powoływania, składu osobowego i statusu członków, zakresu przywilejów i immunitetów posiadanych przez poszczególnych komisarzy, struktury wewnętrznej oraz organizacji pracy Komisji, a także realizowanych funkcji i zadań ze szczególnym uwzględnieniem kontroli przestrzegania prawa UE przez państwa członkowskie</w:t>
            </w:r>
          </w:p>
        </w:tc>
      </w:tr>
      <w:tr w:rsidR="00FB2988" w:rsidRPr="00D15EE9" w14:paraId="0C56FC1D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86E4" w14:textId="77777777" w:rsidR="00FB2988" w:rsidRPr="00D15EE9" w:rsidRDefault="6022D394" w:rsidP="5D93EF4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93EF40">
              <w:rPr>
                <w:rFonts w:ascii="Corbel" w:hAnsi="Corbel"/>
                <w:sz w:val="24"/>
                <w:szCs w:val="24"/>
              </w:rPr>
              <w:t>Charakterystyka Rady UE, sposobu jej powoływania, składu osobowego i statusu członków, struktury wewnętrznej oraz organizacji pracy, a także realizowanych funkcji i zadań ze szczególnym uwzględnieniem roli w procesie prawodawczym w UE</w:t>
            </w:r>
          </w:p>
        </w:tc>
      </w:tr>
      <w:tr w:rsidR="00FB2988" w:rsidRPr="00D15EE9" w14:paraId="40A55E5A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FFF5" w14:textId="7147EA10" w:rsidR="00FB2988" w:rsidRPr="00D15EE9" w:rsidRDefault="6022D394" w:rsidP="5D93EF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661FB5D">
              <w:rPr>
                <w:rFonts w:ascii="Corbel" w:hAnsi="Corbel"/>
                <w:sz w:val="24"/>
                <w:szCs w:val="24"/>
              </w:rPr>
              <w:t>Charakterystyka Trybunału Sprawiedliwości UE, sposobu powoływania sędziów oraz rzeczników generalnych, posiadanych przywilejów oraz immunitetów, a także składów i</w:t>
            </w:r>
            <w:r w:rsidR="11D8256B" w:rsidRPr="1661FB5D">
              <w:rPr>
                <w:rFonts w:ascii="Corbel" w:hAnsi="Corbel"/>
                <w:sz w:val="24"/>
                <w:szCs w:val="24"/>
              </w:rPr>
              <w:t xml:space="preserve"> </w:t>
            </w:r>
            <w:r w:rsidRPr="1661FB5D">
              <w:rPr>
                <w:rFonts w:ascii="Corbel" w:hAnsi="Corbel"/>
                <w:sz w:val="24"/>
                <w:szCs w:val="24"/>
              </w:rPr>
              <w:t>właściwości poszczególnych izb Trybunału. Omówienie przebiegu najważniejszych postępowań przez Trybunałem Sprawiedliwości, w tym postępowania w sprawie naruszenia przez państwo członkowskie zobowiązań traktatowych, postępowania w sprawie stwierdzenia nieważności aktu prawa UE oraz postępowania związanego z udzielaniem odpowiedzi na pytania prejudycjalne kierowane przez sądy państw członkowskich</w:t>
            </w:r>
          </w:p>
        </w:tc>
      </w:tr>
      <w:tr w:rsidR="00FB2988" w:rsidRPr="00D15EE9" w14:paraId="0F449C69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A7D7" w14:textId="77777777" w:rsidR="00FB2988" w:rsidRPr="00D15EE9" w:rsidRDefault="6022D394" w:rsidP="5D93EF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93EF40">
              <w:rPr>
                <w:rFonts w:ascii="Corbel" w:hAnsi="Corbel"/>
                <w:sz w:val="24"/>
                <w:szCs w:val="24"/>
              </w:rPr>
              <w:t>Charakterystyka Trybunału Obrachunkowego, jego składu osobowego oraz zadań związanych z kontrolą rachunków dochodów i wydatków UE oraz poświadczaniem wiarygodności dokumentów. Omówienie najważniejszych międzynarodowych standardów kontroli przyjmowanych w praktyce działalności Trybunału</w:t>
            </w:r>
          </w:p>
        </w:tc>
      </w:tr>
      <w:tr w:rsidR="00FB2988" w:rsidRPr="00D15EE9" w14:paraId="4E78AE40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93C" w14:textId="77777777" w:rsidR="00FB2988" w:rsidRPr="00D15EE9" w:rsidRDefault="6022D394" w:rsidP="5D93EF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93EF40">
              <w:rPr>
                <w:rFonts w:ascii="Corbel" w:hAnsi="Corbel"/>
                <w:sz w:val="24"/>
                <w:szCs w:val="24"/>
              </w:rPr>
              <w:t xml:space="preserve">Charakterystyka Europejskiego Banku Centralnego, jego genezy oraz organów decyzyjnych, roli w zakresie utrzymania stabilności cen i ustalania polityki gospodarczej i pieniężnej UE. Przedstawienie najważniejszych mechanizmów służących zagwarantowaniu niezależności instytucjonalnej, prawnej, funkcjonalnej oraz operacyjnej Banku </w:t>
            </w:r>
          </w:p>
        </w:tc>
      </w:tr>
      <w:tr w:rsidR="00FB2988" w:rsidRPr="00D15EE9" w14:paraId="06B2EB11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4A1E" w14:textId="73376982" w:rsidR="00FB2988" w:rsidRPr="00D15EE9" w:rsidRDefault="6022D394" w:rsidP="5D93EF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661FB5D">
              <w:rPr>
                <w:rFonts w:ascii="Corbel" w:hAnsi="Corbel"/>
                <w:sz w:val="24"/>
                <w:szCs w:val="24"/>
              </w:rPr>
              <w:t>Charakterystyka prawa pierwotnego UE, przedstawienie przedmiotowego zakresu traktatów założycielskich, rewizyjnych oraz akcesyjnych, procedury ich zawierania oraz warunków wejścia w życie; przedstawienie roli zasad ogólnych w procesie tworzenia i stosowania prawa UE oraz konsekwencji ich naruszenia; omówienie miejsca i znaczenia Karty Praw Podstawowych w</w:t>
            </w:r>
            <w:r w:rsidR="699530E2" w:rsidRPr="1661FB5D">
              <w:rPr>
                <w:rFonts w:ascii="Corbel" w:hAnsi="Corbel"/>
                <w:sz w:val="24"/>
                <w:szCs w:val="24"/>
              </w:rPr>
              <w:t xml:space="preserve"> </w:t>
            </w:r>
            <w:r w:rsidRPr="1661FB5D">
              <w:rPr>
                <w:rFonts w:ascii="Corbel" w:hAnsi="Corbel"/>
                <w:sz w:val="24"/>
                <w:szCs w:val="24"/>
              </w:rPr>
              <w:t>systemie prawa pierwotnego UE</w:t>
            </w:r>
          </w:p>
        </w:tc>
      </w:tr>
      <w:tr w:rsidR="00FB2988" w:rsidRPr="00D15EE9" w14:paraId="34D98AB9" w14:textId="77777777" w:rsidTr="1661FB5D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D08B" w14:textId="700754F7" w:rsidR="00FB2988" w:rsidRPr="00D15EE9" w:rsidRDefault="6022D394" w:rsidP="5D93EF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93EF40">
              <w:rPr>
                <w:rFonts w:ascii="Corbel" w:hAnsi="Corbel"/>
                <w:sz w:val="24"/>
                <w:szCs w:val="24"/>
              </w:rPr>
              <w:t>Charakterystyka prawa pochodnego UE: aktów prawodawczych, delegowanych oraz wykonawczych. Omówienie form, w jakich tworzone są akty prawa pochodnego oraz procedury ich stanowienia. Przedstawienie mechanizmów badania zgodności oraz skutków stwierdzenia niezgodności aktów prawa pochodnego UE z prawem pierwotnym.</w:t>
            </w:r>
          </w:p>
        </w:tc>
      </w:tr>
    </w:tbl>
    <w:p w14:paraId="52E5622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547A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2988" w:rsidRPr="00D15EE9" w14:paraId="587EA2A8" w14:textId="77777777" w:rsidTr="5D93EF40">
        <w:tc>
          <w:tcPr>
            <w:tcW w:w="9639" w:type="dxa"/>
          </w:tcPr>
          <w:p w14:paraId="35113026" w14:textId="77777777" w:rsidR="00FB2988" w:rsidRPr="00D15EE9" w:rsidRDefault="00FB2988" w:rsidP="009B6F6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15EE9">
              <w:rPr>
                <w:rFonts w:ascii="Corbel" w:hAnsi="Corbel"/>
                <w:sz w:val="24"/>
              </w:rPr>
              <w:t>Treści merytoryczne</w:t>
            </w:r>
          </w:p>
        </w:tc>
      </w:tr>
      <w:tr w:rsidR="00FB2988" w:rsidRPr="00D15EE9" w14:paraId="421FFC79" w14:textId="77777777" w:rsidTr="5D93EF40">
        <w:trPr>
          <w:trHeight w:val="810"/>
        </w:trPr>
        <w:tc>
          <w:tcPr>
            <w:tcW w:w="9639" w:type="dxa"/>
          </w:tcPr>
          <w:p w14:paraId="628D01FC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Zagadnienia wprowadzające. Zapoznanie z podstawową terminologią związaną z prawem Unii Europejskiej oraz wyjaśnienie podstawowych założeń przedmiotu </w:t>
            </w:r>
          </w:p>
        </w:tc>
      </w:tr>
      <w:tr w:rsidR="00FB2988" w:rsidRPr="00D15EE9" w14:paraId="47D152A0" w14:textId="77777777" w:rsidTr="5D93EF40">
        <w:trPr>
          <w:trHeight w:val="390"/>
        </w:trPr>
        <w:tc>
          <w:tcPr>
            <w:tcW w:w="9639" w:type="dxa"/>
          </w:tcPr>
          <w:p w14:paraId="4CFD314A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Zarys historii integracji europejskiej – od Traktatów rzymskich do Traktatu z Lizbony </w:t>
            </w:r>
          </w:p>
        </w:tc>
      </w:tr>
      <w:tr w:rsidR="00FB2988" w:rsidRPr="00D15EE9" w14:paraId="4E02502E" w14:textId="77777777" w:rsidTr="5D93EF40">
        <w:trPr>
          <w:trHeight w:val="450"/>
        </w:trPr>
        <w:tc>
          <w:tcPr>
            <w:tcW w:w="9639" w:type="dxa"/>
          </w:tcPr>
          <w:p w14:paraId="6F4CE7AB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Cele oraz zadania UE. Podstawy prawne funkcjonowania UE </w:t>
            </w:r>
          </w:p>
        </w:tc>
      </w:tr>
      <w:tr w:rsidR="00FB2988" w:rsidRPr="00D15EE9" w14:paraId="3C42C5C9" w14:textId="77777777" w:rsidTr="5D93EF40">
        <w:trPr>
          <w:trHeight w:val="1340"/>
        </w:trPr>
        <w:tc>
          <w:tcPr>
            <w:tcW w:w="9639" w:type="dxa"/>
          </w:tcPr>
          <w:p w14:paraId="27DFC20D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       Zakres czasowy i terytorialny obowiązywania traktatów. </w:t>
            </w:r>
          </w:p>
          <w:p w14:paraId="3785ADD3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Struktura UE po reformie lizbońskiej. Konsekwencje członkostwa państwa w UE (przystąpienie do UE, wystąpienie z UE, wykluczenie państwa z UE, teoretyczne możliwości rozwiązania UE, zawieszenie praw państwa członkowskiego w UE) </w:t>
            </w:r>
          </w:p>
        </w:tc>
      </w:tr>
      <w:tr w:rsidR="00FB2988" w:rsidRPr="00D15EE9" w14:paraId="0B677A80" w14:textId="77777777" w:rsidTr="5D93EF40">
        <w:trPr>
          <w:trHeight w:val="1077"/>
        </w:trPr>
        <w:tc>
          <w:tcPr>
            <w:tcW w:w="9639" w:type="dxa"/>
          </w:tcPr>
          <w:p w14:paraId="76373DB3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Podział na kompetencje UE i kompetencje państw członkowskich. Zasada pomocniczości i proporcjonalności oraz wartości na których opiera się Unia (art. 2 TUE) i ochrona praw podstawowych. Obywatelstwo UE. Konsekwencje naruszenia tych wartości (art. 7 TUE) </w:t>
            </w:r>
          </w:p>
        </w:tc>
      </w:tr>
      <w:tr w:rsidR="00FB2988" w:rsidRPr="00D15EE9" w14:paraId="02B26E02" w14:textId="77777777" w:rsidTr="5D93EF40">
        <w:trPr>
          <w:trHeight w:val="558"/>
        </w:trPr>
        <w:tc>
          <w:tcPr>
            <w:tcW w:w="9639" w:type="dxa"/>
          </w:tcPr>
          <w:p w14:paraId="7937442C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Wspólna Polityka Zagraniczna i Bezpieczeństwa oraz Przestrzeń Wolności, Bezpieczeństwa i Sprawiedliwości </w:t>
            </w:r>
          </w:p>
        </w:tc>
      </w:tr>
      <w:tr w:rsidR="00FB2988" w:rsidRPr="00D15EE9" w14:paraId="65B05C61" w14:textId="77777777" w:rsidTr="5D93EF40">
        <w:trPr>
          <w:trHeight w:val="675"/>
        </w:trPr>
        <w:tc>
          <w:tcPr>
            <w:tcW w:w="9639" w:type="dxa"/>
          </w:tcPr>
          <w:p w14:paraId="7B853802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Wprowadzenie do systemu instytucjonalnego UE oraz struktura tego systemu: </w:t>
            </w:r>
          </w:p>
          <w:p w14:paraId="6DAEF617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Parlament Europejski, Komisja Europejska </w:t>
            </w:r>
          </w:p>
        </w:tc>
      </w:tr>
      <w:tr w:rsidR="00FB2988" w:rsidRPr="00D15EE9" w14:paraId="00A14A3B" w14:textId="77777777" w:rsidTr="5D93EF40">
        <w:trPr>
          <w:trHeight w:val="690"/>
        </w:trPr>
        <w:tc>
          <w:tcPr>
            <w:tcW w:w="9639" w:type="dxa"/>
          </w:tcPr>
          <w:p w14:paraId="6EC7A641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Rada Europejska, Rada UE (wraz ze skrótowym przedstawieniem podstawowych priorytetów jakie stały przed Polską w ramach Prezydencji w UE w 2011 r.) </w:t>
            </w:r>
          </w:p>
        </w:tc>
      </w:tr>
      <w:tr w:rsidR="00FB2988" w:rsidRPr="00D15EE9" w14:paraId="614CBE67" w14:textId="77777777" w:rsidTr="5D93EF40">
        <w:trPr>
          <w:trHeight w:val="585"/>
        </w:trPr>
        <w:tc>
          <w:tcPr>
            <w:tcW w:w="9639" w:type="dxa"/>
          </w:tcPr>
          <w:p w14:paraId="0DF54130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Trybunał Sprawiedliwości UE (Trybunał Sprawiedliwości, Sąd, Sąd ds. Służby Publicznej jako sąd wyspecjalizowany) </w:t>
            </w:r>
          </w:p>
        </w:tc>
      </w:tr>
      <w:tr w:rsidR="00FB2988" w:rsidRPr="00D15EE9" w14:paraId="193AD6B4" w14:textId="77777777" w:rsidTr="5D93EF40">
        <w:trPr>
          <w:trHeight w:val="723"/>
        </w:trPr>
        <w:tc>
          <w:tcPr>
            <w:tcW w:w="9639" w:type="dxa"/>
          </w:tcPr>
          <w:p w14:paraId="3687CAD7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Trybunał Obrachunkowy i instytucje finansowe (Europejski Bank Centralny oraz Europejski System Banków Centralnych, Europejskie Bank Inwestycyjny) </w:t>
            </w:r>
          </w:p>
        </w:tc>
      </w:tr>
      <w:tr w:rsidR="00FB2988" w:rsidRPr="00D15EE9" w14:paraId="2469D2A6" w14:textId="77777777" w:rsidTr="5D93EF40">
        <w:trPr>
          <w:trHeight w:val="420"/>
        </w:trPr>
        <w:tc>
          <w:tcPr>
            <w:tcW w:w="9639" w:type="dxa"/>
          </w:tcPr>
          <w:p w14:paraId="74F521B0" w14:textId="77777777" w:rsidR="00FB2988" w:rsidRPr="00D15EE9" w:rsidRDefault="00FB2988" w:rsidP="009B6F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15EE9">
              <w:rPr>
                <w:rFonts w:ascii="Corbel" w:eastAsia="Cambria" w:hAnsi="Corbel"/>
                <w:sz w:val="24"/>
              </w:rPr>
              <w:t>Status prawny funkcjonariuszy UE</w:t>
            </w:r>
          </w:p>
        </w:tc>
      </w:tr>
      <w:tr w:rsidR="00FB2988" w:rsidRPr="00D15EE9" w14:paraId="6757E084" w14:textId="77777777" w:rsidTr="5D93EF40">
        <w:trPr>
          <w:trHeight w:val="1620"/>
        </w:trPr>
        <w:tc>
          <w:tcPr>
            <w:tcW w:w="9639" w:type="dxa"/>
          </w:tcPr>
          <w:p w14:paraId="3D2829CB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>Źródła Prawa UE:</w:t>
            </w:r>
          </w:p>
          <w:p w14:paraId="4752EC24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>Prawo pierwotne – Traktaty założycielskie, traktaty akcesyjne, traktat reformujące, ogólne zasady prawa i prawo zwyczajowe.</w:t>
            </w:r>
          </w:p>
          <w:p w14:paraId="40A63797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>Prawo pochodne – akty prawodawcze i nieprawodawcze oraz akty prawa pochodnego o charakterze niewiążącym.</w:t>
            </w:r>
          </w:p>
          <w:p w14:paraId="42A5874E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>Umowy międzynarodowe w systemie prawnym UE.</w:t>
            </w:r>
          </w:p>
        </w:tc>
      </w:tr>
      <w:tr w:rsidR="00FB2988" w:rsidRPr="00D15EE9" w14:paraId="1DFCF2A1" w14:textId="77777777" w:rsidTr="5D93EF40">
        <w:trPr>
          <w:trHeight w:val="540"/>
        </w:trPr>
        <w:tc>
          <w:tcPr>
            <w:tcW w:w="9639" w:type="dxa"/>
          </w:tcPr>
          <w:p w14:paraId="50941977" w14:textId="77777777" w:rsidR="00FB2988" w:rsidRPr="00D15EE9" w:rsidRDefault="00FB2988" w:rsidP="009B6F63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Tworzenie prawa w UE na przykładzie wybranego aktu prawodawczego UE (dyrektywa, rozporządzenie, dyrektywa) </w:t>
            </w:r>
          </w:p>
        </w:tc>
      </w:tr>
      <w:tr w:rsidR="00FB2988" w:rsidRPr="00D15EE9" w14:paraId="33E805CD" w14:textId="77777777" w:rsidTr="5D93EF40">
        <w:trPr>
          <w:trHeight w:val="608"/>
        </w:trPr>
        <w:tc>
          <w:tcPr>
            <w:tcW w:w="9639" w:type="dxa"/>
          </w:tcPr>
          <w:p w14:paraId="01298B21" w14:textId="77777777" w:rsidR="00FB2988" w:rsidRPr="00D15EE9" w:rsidRDefault="00FB2988" w:rsidP="009B6F63">
            <w:pPr>
              <w:shd w:val="clear" w:color="auto" w:fill="FFFFFF"/>
              <w:spacing w:after="0" w:line="240" w:lineRule="auto"/>
              <w:ind w:left="360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15EE9">
              <w:rPr>
                <w:rFonts w:ascii="Corbel" w:eastAsia="Cambria" w:hAnsi="Corbel"/>
                <w:sz w:val="24"/>
                <w:lang w:eastAsia="pl-PL"/>
              </w:rPr>
              <w:t xml:space="preserve">Zasady stosowania prawa UE na płaszczyźnie krajowej – zasada pierwszeństwa i zasada skutku bezpośredniego </w:t>
            </w:r>
          </w:p>
        </w:tc>
      </w:tr>
    </w:tbl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46FB0" w14:textId="5254D09D" w:rsidR="37EE3F97" w:rsidRDefault="37EE3F97" w:rsidP="37EE3F97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0A0085F3" w14:textId="6CFAFAAB" w:rsidR="37EE3F97" w:rsidRDefault="37EE3F97" w:rsidP="37EE3F97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3938E358" w14:textId="55A5FAB8" w:rsidR="37EE3F97" w:rsidRDefault="37EE3F97" w:rsidP="37EE3F97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68BBD" w14:textId="77777777" w:rsidR="005561FE" w:rsidRPr="00D15EE9" w:rsidRDefault="005561FE" w:rsidP="005561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D15EE9">
        <w:rPr>
          <w:rFonts w:ascii="Corbel" w:eastAsia="Cambria" w:hAnsi="Corbel"/>
          <w:sz w:val="24"/>
        </w:rPr>
        <w:t>wykład informacyjny, problemowy, metody kształcenia na odległość,</w:t>
      </w:r>
    </w:p>
    <w:p w14:paraId="662F4B62" w14:textId="77777777" w:rsidR="005561FE" w:rsidRPr="00D15EE9" w:rsidRDefault="005561FE" w:rsidP="005561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D15EE9">
        <w:rPr>
          <w:rFonts w:ascii="Corbel" w:eastAsia="Cambria" w:hAnsi="Corbel"/>
          <w:sz w:val="24"/>
        </w:rPr>
        <w:t>ćwiczenia- analiza i interpretacja tekstów źródłowych, praca w grupach, dyskusja, metody kształcenia na odległość.</w:t>
      </w:r>
    </w:p>
    <w:p w14:paraId="70DF9E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37805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3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5D93EF40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1CB0131D" w:rsidR="0085747A" w:rsidRPr="009C54AE" w:rsidRDefault="00A84C85" w:rsidP="5D93EF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D93EF4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EFFCEF3" w:rsidRPr="5D93EF4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0AEA" w:rsidRPr="009C54AE" w14:paraId="23083FEC" w14:textId="77777777" w:rsidTr="5D93EF40">
        <w:tc>
          <w:tcPr>
            <w:tcW w:w="1985" w:type="dxa"/>
          </w:tcPr>
          <w:p w14:paraId="1EB017B1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76466B44" w14:textId="77777777" w:rsidR="00410AEA" w:rsidRPr="009C54AE" w:rsidRDefault="00FB2988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</w:t>
            </w:r>
            <w:r w:rsidR="005561FE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410AEA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2F7CC7D9" w14:textId="77777777" w:rsidR="00410AEA" w:rsidRPr="009C54AE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410AE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410AEA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FB2988" w:rsidRPr="009C54AE" w14:paraId="0C88C68C" w14:textId="77777777" w:rsidTr="5D93EF40">
        <w:tc>
          <w:tcPr>
            <w:tcW w:w="1985" w:type="dxa"/>
          </w:tcPr>
          <w:p w14:paraId="727CF0E4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CA2C41E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5C0EA831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FB2988" w:rsidRPr="009C54AE" w14:paraId="2577B9B3" w14:textId="77777777" w:rsidTr="5D93EF40">
        <w:tc>
          <w:tcPr>
            <w:tcW w:w="1985" w:type="dxa"/>
          </w:tcPr>
          <w:p w14:paraId="002D746F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F76012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3BFA0216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FB2988" w:rsidRPr="009C54AE" w14:paraId="59249746" w14:textId="77777777" w:rsidTr="5D93EF40">
        <w:tc>
          <w:tcPr>
            <w:tcW w:w="1985" w:type="dxa"/>
          </w:tcPr>
          <w:p w14:paraId="3A04FA72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A390B85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06DF7F04" w14:textId="77777777" w:rsidR="00FB2988" w:rsidRPr="009C54AE" w:rsidRDefault="009C5AAD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FB2988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FB2988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FB2988" w:rsidRPr="009C54AE" w14:paraId="78CED9F8" w14:textId="77777777" w:rsidTr="5D93EF40">
        <w:tc>
          <w:tcPr>
            <w:tcW w:w="1985" w:type="dxa"/>
          </w:tcPr>
          <w:p w14:paraId="4A2F1096" w14:textId="77777777" w:rsidR="00FB2988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6F62431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4A59B91B" w14:textId="77777777" w:rsidR="00FB2988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FB2988" w:rsidRPr="009C54AE" w14:paraId="6476062C" w14:textId="77777777" w:rsidTr="5D93EF40">
        <w:tc>
          <w:tcPr>
            <w:tcW w:w="1985" w:type="dxa"/>
          </w:tcPr>
          <w:p w14:paraId="1E73F495" w14:textId="77777777" w:rsidR="00FB2988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E0D1DDB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16DE7960" w14:textId="77777777" w:rsidR="00FB2988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14:paraId="3B7B4B86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182907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5EE9" w14:paraId="1FE39CCB" w14:textId="77777777" w:rsidTr="5D93EF40">
        <w:tc>
          <w:tcPr>
            <w:tcW w:w="9670" w:type="dxa"/>
          </w:tcPr>
          <w:p w14:paraId="25A57C13" w14:textId="77777777" w:rsidR="005561FE" w:rsidRPr="00D15EE9" w:rsidRDefault="005561FE" w:rsidP="005561F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15EE9">
              <w:rPr>
                <w:rFonts w:ascii="Corbel" w:eastAsia="Cambria" w:hAnsi="Corbel"/>
                <w:b/>
                <w:sz w:val="24"/>
              </w:rPr>
              <w:t>Wykład</w:t>
            </w:r>
            <w:r w:rsidRPr="00D15EE9">
              <w:rPr>
                <w:rFonts w:ascii="Corbel" w:eastAsia="Cambria" w:hAnsi="Corbel"/>
                <w:sz w:val="24"/>
              </w:rPr>
              <w:t xml:space="preserve"> – egzamin - test wielkokrotnego wyboru obejmujący 20 pytań. Warunkiem uzyskania oceny pozytywnej jest zdobycie co najmniej 11 punktów. Na rozwiązanie testu student ma 20 minut.</w:t>
            </w:r>
          </w:p>
          <w:p w14:paraId="2BA226A1" w14:textId="77777777" w:rsidR="005561FE" w:rsidRPr="00D15EE9" w:rsidRDefault="005561FE" w:rsidP="005561F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14:paraId="0DE4B5B7" w14:textId="0CFCA228" w:rsidR="0085747A" w:rsidRPr="00D15EE9" w:rsidRDefault="005561FE" w:rsidP="5D93E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D93EF40">
              <w:rPr>
                <w:rFonts w:ascii="Corbel" w:eastAsia="Cambria" w:hAnsi="Corbel"/>
                <w:smallCaps w:val="0"/>
              </w:rPr>
              <w:t xml:space="preserve">Ćwiczenia </w:t>
            </w:r>
            <w:r w:rsidRPr="5D93EF40">
              <w:rPr>
                <w:rFonts w:ascii="Corbel" w:eastAsia="Cambria" w:hAnsi="Corbel"/>
                <w:b w:val="0"/>
                <w:smallCaps w:val="0"/>
              </w:rPr>
              <w:t xml:space="preserve">– zaliczenie - </w:t>
            </w:r>
            <w:r w:rsidR="1F100337" w:rsidRPr="5D93EF40">
              <w:rPr>
                <w:rFonts w:ascii="Corbel" w:eastAsia="Cambria" w:hAnsi="Corbel"/>
                <w:b w:val="0"/>
                <w:smallCaps w:val="0"/>
                <w:lang w:eastAsia="pl-PL"/>
              </w:rPr>
              <w:t>test w</w:t>
            </w:r>
            <w:r w:rsidRPr="5D93EF40">
              <w:rPr>
                <w:rFonts w:ascii="Corbel" w:eastAsia="Cambria" w:hAnsi="Corbel"/>
                <w:b w:val="0"/>
                <w:smallCaps w:val="0"/>
                <w:lang w:eastAsia="pl-PL"/>
              </w:rPr>
              <w:t>ielokrotnego wyboru, obejmujący</w:t>
            </w:r>
            <w:r w:rsidR="1F100337" w:rsidRPr="5D93EF40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20 pytań. Warunkiem uzyskania oceny pozytywnej jest zdobycie co najmniej 11 punktów. Na rozwiązanie testu student ma 20 minut. Przy zaliczeniu przedmiotu brana jest pod uwagę także aktywność i obecność studenta na zajęciach. W razie nieotrzymania oceny pozytywnej z kolokwium zaliczeniowego, przewiduje się możliwość poprawy kolokwium w formie ustnej.</w:t>
            </w:r>
          </w:p>
        </w:tc>
      </w:tr>
    </w:tbl>
    <w:p w14:paraId="66204F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BF0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1661FB5D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C39654" w14:textId="77777777" w:rsidTr="1661FB5D">
        <w:tc>
          <w:tcPr>
            <w:tcW w:w="4962" w:type="dxa"/>
          </w:tcPr>
          <w:p w14:paraId="1AB692D5" w14:textId="77777777" w:rsidR="0085747A" w:rsidRPr="009C54AE" w:rsidRDefault="00C61DC5" w:rsidP="1661FB5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661FB5D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1661FB5D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1661FB5D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1661FB5D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1661FB5D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85747A" w:rsidRPr="1661FB5D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="009C1331" w:rsidRPr="1661FB5D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3FD9E262" w:rsidRPr="1661FB5D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1661FB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1661FB5D">
              <w:rPr>
                <w:rFonts w:ascii="Corbel" w:eastAsia="Corbel" w:hAnsi="Corbel" w:cs="Corbel"/>
                <w:sz w:val="24"/>
                <w:szCs w:val="24"/>
              </w:rPr>
              <w:t>studiów</w:t>
            </w:r>
            <w:r w:rsidR="3FD9E262" w:rsidRPr="1661FB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8861898" w14:textId="77777777" w:rsidR="0085747A" w:rsidRPr="009C54AE" w:rsidRDefault="7F8635CF" w:rsidP="1661FB5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661FB5D">
              <w:rPr>
                <w:rFonts w:ascii="Corbel" w:eastAsia="Corbel" w:hAnsi="Corbel" w:cs="Corbel"/>
                <w:sz w:val="24"/>
                <w:szCs w:val="24"/>
              </w:rPr>
              <w:t>5</w:t>
            </w:r>
            <w:r w:rsidR="005561FE" w:rsidRPr="1661FB5D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1661FB5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F574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1D06470" w14:textId="77777777" w:rsidTr="1661FB5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6DE38F6" w14:textId="77777777" w:rsidR="00C61DC5" w:rsidRPr="009C54AE" w:rsidRDefault="00F574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6308A452" w14:textId="77777777" w:rsidTr="1661FB5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FA94C" w14:textId="77777777" w:rsidR="0085747A" w:rsidRPr="009C54AE" w:rsidRDefault="009C5A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5CA6A37" w14:textId="77777777" w:rsidTr="1661FB5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240AAE" w14:textId="77777777" w:rsidR="0085747A" w:rsidRPr="009C54AE" w:rsidRDefault="005561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2F1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5D93EF40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0A4E5D" w14:textId="7C70B3C8" w:rsidR="0085747A" w:rsidRPr="009C54AE" w:rsidRDefault="091D6AB1" w:rsidP="5D93E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D93EF4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5D93EF40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219836" w14:textId="2B9F27A9" w:rsidR="0085747A" w:rsidRPr="009C54AE" w:rsidRDefault="74764876" w:rsidP="5D93E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D93EF40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96FEF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94DBD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561FE" w:rsidRPr="00554D1E" w14:paraId="151C118D" w14:textId="77777777" w:rsidTr="5D93EF40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9695" w14:textId="77777777" w:rsidR="005561FE" w:rsidRPr="005561FE" w:rsidRDefault="005561FE" w:rsidP="005561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561F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AA0A37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Wyrozumska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, J. Barcz, M. Górka, Instytucje i prawo Unii Europejskiej. Podręcznik dla kierunków prawa, zarządzania i administracji, Warszawa 2020,</w:t>
            </w:r>
          </w:p>
          <w:p w14:paraId="2704C42C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M. Kenig-Witkowska, A. Łazowski, R.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Ostrihansky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, Prawo instytucjonalne Unii Europejskiej, Warszawa 2019,</w:t>
            </w:r>
          </w:p>
          <w:p w14:paraId="7A13F8F6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Ahlt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Szpunar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, Prawo Europejskie, Warszawa 2011,</w:t>
            </w:r>
          </w:p>
          <w:p w14:paraId="0F9706F1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Kuś, Prawo Unii Europejskiej z uwzględnieniem Traktatu z Lizbony, Lublin 2010,</w:t>
            </w:r>
          </w:p>
          <w:p w14:paraId="4B5879E7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J. Barcz i inni, Prawo Unii Europejskiej. Zagadnienia systemowe. Prawo materialne i polityki, Warszawa 2007,</w:t>
            </w:r>
          </w:p>
          <w:p w14:paraId="6E89F3E2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Cini, Unia Europejska. Organizacja i funkcjonowanie, Warszawa 2007,</w:t>
            </w:r>
          </w:p>
          <w:p w14:paraId="13221A85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R. Skubisz, E. Skrzydło – Tefelska, Prawo Europejskie, Lublin 2006,</w:t>
            </w:r>
          </w:p>
          <w:p w14:paraId="1BA5CC0D" w14:textId="77777777" w:rsid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Wróbel, Wprowadzenie do prawa Wspólnot Europejskich, Unii Europejskiej, Zakamycze 2004,</w:t>
            </w:r>
          </w:p>
          <w:p w14:paraId="0225DE6B" w14:textId="77777777" w:rsidR="005561FE" w:rsidRPr="005561FE" w:rsidRDefault="005561FE" w:rsidP="00556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E. Wojtaszek – Mik, C. Mik, Traktaty Europejskie, Kraków 2000.</w:t>
            </w:r>
          </w:p>
          <w:p w14:paraId="769D0D3C" w14:textId="77777777" w:rsidR="005561FE" w:rsidRPr="005561FE" w:rsidRDefault="005561FE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561FE" w:rsidRPr="00554D1E" w14:paraId="53774E2C" w14:textId="77777777" w:rsidTr="5D93EF40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B1D9" w14:textId="77777777" w:rsidR="005561FE" w:rsidRPr="005561FE" w:rsidRDefault="005561FE" w:rsidP="5D93EF4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5D93EF4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4A697F9" w14:textId="5A58E89B" w:rsidR="005561FE" w:rsidRPr="005561FE" w:rsidRDefault="005561FE" w:rsidP="5D93EF40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5D93EF40">
              <w:rPr>
                <w:rFonts w:ascii="Corbel" w:hAnsi="Corbel"/>
                <w:b w:val="0"/>
                <w:smallCaps w:val="0"/>
              </w:rPr>
              <w:t>P. K. Rosiak, M.</w:t>
            </w:r>
            <w:r w:rsidR="415BB97E" w:rsidRPr="5D93EF40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5D93EF40">
              <w:rPr>
                <w:rFonts w:ascii="Corbel" w:hAnsi="Corbel"/>
                <w:b w:val="0"/>
                <w:smallCaps w:val="0"/>
              </w:rPr>
              <w:t>Szpunar</w:t>
            </w:r>
            <w:proofErr w:type="spellEnd"/>
            <w:r w:rsidRPr="5D93EF40">
              <w:rPr>
                <w:rFonts w:ascii="Corbel" w:hAnsi="Corbel"/>
                <w:b w:val="0"/>
                <w:smallCaps w:val="0"/>
              </w:rPr>
              <w:t xml:space="preserve">, Postępowanie przed Trybunałem </w:t>
            </w:r>
            <w:r w:rsidR="4E802D6F" w:rsidRPr="5D93EF40">
              <w:rPr>
                <w:rFonts w:ascii="Corbel" w:hAnsi="Corbel"/>
                <w:b w:val="0"/>
                <w:smallCaps w:val="0"/>
              </w:rPr>
              <w:t>S</w:t>
            </w:r>
            <w:r w:rsidRPr="5D93EF40">
              <w:rPr>
                <w:rFonts w:ascii="Corbel" w:hAnsi="Corbel"/>
                <w:b w:val="0"/>
                <w:smallCaps w:val="0"/>
              </w:rPr>
              <w:t>prawiedliwości i Sądem Pierwszej Instancji Wspólnot Europejskich. Aspekty Praktyczne, Warszawa 2007,</w:t>
            </w:r>
          </w:p>
          <w:p w14:paraId="008C9581" w14:textId="77777777" w:rsidR="005561FE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Kornobis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-Romanowska, Sąd krajowy w prawie wspólnotowym, Kraków 2007,</w:t>
            </w:r>
          </w:p>
          <w:p w14:paraId="3D93377F" w14:textId="77777777" w:rsidR="00EA2DA1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Domańska i inni, Pytania prejudycjalne do Trybunału Sprawiedliwości Wspólnot Europejskich, Warszawa 2007,</w:t>
            </w:r>
          </w:p>
          <w:p w14:paraId="5281B9B1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W. Czapliński i inni, Prawo Wspólnot Europejskich. Orzecznictwo. Wydanie nowe z Suplementem, Warszawa 2006.</w:t>
            </w:r>
          </w:p>
          <w:p w14:paraId="54CD245A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31BE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EB5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FCA3B" w14:textId="77777777" w:rsidR="004A267C" w:rsidRDefault="004A267C" w:rsidP="00C16ABF">
      <w:pPr>
        <w:spacing w:after="0" w:line="240" w:lineRule="auto"/>
      </w:pPr>
      <w:r>
        <w:separator/>
      </w:r>
    </w:p>
  </w:endnote>
  <w:endnote w:type="continuationSeparator" w:id="0">
    <w:p w14:paraId="729A9142" w14:textId="77777777" w:rsidR="004A267C" w:rsidRDefault="004A26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40391" w14:textId="77777777" w:rsidR="004A267C" w:rsidRDefault="004A267C" w:rsidP="00C16ABF">
      <w:pPr>
        <w:spacing w:after="0" w:line="240" w:lineRule="auto"/>
      </w:pPr>
      <w:r>
        <w:separator/>
      </w:r>
    </w:p>
  </w:footnote>
  <w:footnote w:type="continuationSeparator" w:id="0">
    <w:p w14:paraId="669A7F9B" w14:textId="77777777" w:rsidR="004A267C" w:rsidRDefault="004A267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E4BCF"/>
    <w:multiLevelType w:val="hybridMultilevel"/>
    <w:tmpl w:val="15F8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21267"/>
    <w:multiLevelType w:val="hybridMultilevel"/>
    <w:tmpl w:val="6B44B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A7C6D"/>
    <w:multiLevelType w:val="hybridMultilevel"/>
    <w:tmpl w:val="F080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B9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BE8"/>
    <w:rsid w:val="0022477D"/>
    <w:rsid w:val="002278A9"/>
    <w:rsid w:val="002336F9"/>
    <w:rsid w:val="0024028F"/>
    <w:rsid w:val="00240D4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378"/>
    <w:rsid w:val="003F38C0"/>
    <w:rsid w:val="00410AEA"/>
    <w:rsid w:val="00414E3C"/>
    <w:rsid w:val="0041795A"/>
    <w:rsid w:val="0042244A"/>
    <w:rsid w:val="0042745A"/>
    <w:rsid w:val="00431D5C"/>
    <w:rsid w:val="004362C6"/>
    <w:rsid w:val="00437FA2"/>
    <w:rsid w:val="00445970"/>
    <w:rsid w:val="004478A2"/>
    <w:rsid w:val="0045729E"/>
    <w:rsid w:val="00461EFC"/>
    <w:rsid w:val="004652C2"/>
    <w:rsid w:val="004706D1"/>
    <w:rsid w:val="00471326"/>
    <w:rsid w:val="0047598D"/>
    <w:rsid w:val="004840FD"/>
    <w:rsid w:val="0048467C"/>
    <w:rsid w:val="00490F7D"/>
    <w:rsid w:val="00491678"/>
    <w:rsid w:val="004968E2"/>
    <w:rsid w:val="004A267C"/>
    <w:rsid w:val="004A3EEA"/>
    <w:rsid w:val="004A4D1F"/>
    <w:rsid w:val="004D5282"/>
    <w:rsid w:val="004E3314"/>
    <w:rsid w:val="004F1551"/>
    <w:rsid w:val="004F55A3"/>
    <w:rsid w:val="004F7556"/>
    <w:rsid w:val="0050496F"/>
    <w:rsid w:val="00513B6F"/>
    <w:rsid w:val="00517C63"/>
    <w:rsid w:val="005363C4"/>
    <w:rsid w:val="00536BDE"/>
    <w:rsid w:val="00543ACC"/>
    <w:rsid w:val="005561FE"/>
    <w:rsid w:val="0056696D"/>
    <w:rsid w:val="0058254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DC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6EF"/>
    <w:rsid w:val="008C0CC0"/>
    <w:rsid w:val="008C19A9"/>
    <w:rsid w:val="008C379D"/>
    <w:rsid w:val="008C5114"/>
    <w:rsid w:val="008C5147"/>
    <w:rsid w:val="008C5359"/>
    <w:rsid w:val="008C5363"/>
    <w:rsid w:val="008D3DFB"/>
    <w:rsid w:val="008E64F4"/>
    <w:rsid w:val="008F12C9"/>
    <w:rsid w:val="008F6E29"/>
    <w:rsid w:val="00901217"/>
    <w:rsid w:val="00916188"/>
    <w:rsid w:val="00923D7D"/>
    <w:rsid w:val="009508DF"/>
    <w:rsid w:val="00950DAC"/>
    <w:rsid w:val="00954A07"/>
    <w:rsid w:val="00965CB5"/>
    <w:rsid w:val="00997F14"/>
    <w:rsid w:val="009A78D9"/>
    <w:rsid w:val="009B6F63"/>
    <w:rsid w:val="009C1331"/>
    <w:rsid w:val="009C3E31"/>
    <w:rsid w:val="009C54AE"/>
    <w:rsid w:val="009C5AAD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12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C29"/>
    <w:rsid w:val="00B2602D"/>
    <w:rsid w:val="00B3130B"/>
    <w:rsid w:val="00B35F4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4E6"/>
    <w:rsid w:val="00C058B4"/>
    <w:rsid w:val="00C05F44"/>
    <w:rsid w:val="00C131B5"/>
    <w:rsid w:val="00C16ABF"/>
    <w:rsid w:val="00C170AE"/>
    <w:rsid w:val="00C26CB7"/>
    <w:rsid w:val="00C27B41"/>
    <w:rsid w:val="00C324C1"/>
    <w:rsid w:val="00C357D0"/>
    <w:rsid w:val="00C36992"/>
    <w:rsid w:val="00C56036"/>
    <w:rsid w:val="00C61DC5"/>
    <w:rsid w:val="00C67E92"/>
    <w:rsid w:val="00C70A26"/>
    <w:rsid w:val="00C766DF"/>
    <w:rsid w:val="00C849F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EE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522"/>
    <w:rsid w:val="00DA20C4"/>
    <w:rsid w:val="00DA2114"/>
    <w:rsid w:val="00DE09C0"/>
    <w:rsid w:val="00DE4A14"/>
    <w:rsid w:val="00DF320D"/>
    <w:rsid w:val="00DF71C8"/>
    <w:rsid w:val="00E129B8"/>
    <w:rsid w:val="00E1378B"/>
    <w:rsid w:val="00E21E7D"/>
    <w:rsid w:val="00E22FBC"/>
    <w:rsid w:val="00E24BF5"/>
    <w:rsid w:val="00E25338"/>
    <w:rsid w:val="00E35C65"/>
    <w:rsid w:val="00E51E44"/>
    <w:rsid w:val="00E63348"/>
    <w:rsid w:val="00E77E88"/>
    <w:rsid w:val="00E8107D"/>
    <w:rsid w:val="00E960BB"/>
    <w:rsid w:val="00EA2074"/>
    <w:rsid w:val="00EA2DA1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4A7"/>
    <w:rsid w:val="00F617C3"/>
    <w:rsid w:val="00F7066B"/>
    <w:rsid w:val="00F83B28"/>
    <w:rsid w:val="00FA46E5"/>
    <w:rsid w:val="00FB2988"/>
    <w:rsid w:val="00FB7DBA"/>
    <w:rsid w:val="00FC1C25"/>
    <w:rsid w:val="00FC3F45"/>
    <w:rsid w:val="00FC5843"/>
    <w:rsid w:val="00FD503F"/>
    <w:rsid w:val="00FD7589"/>
    <w:rsid w:val="00FF016A"/>
    <w:rsid w:val="00FF1401"/>
    <w:rsid w:val="00FF5E7D"/>
    <w:rsid w:val="091D6AB1"/>
    <w:rsid w:val="0BF0A5B9"/>
    <w:rsid w:val="0CB9C90A"/>
    <w:rsid w:val="0EFFCEF3"/>
    <w:rsid w:val="11D8256B"/>
    <w:rsid w:val="1661FB5D"/>
    <w:rsid w:val="19E89A1C"/>
    <w:rsid w:val="1DA7603C"/>
    <w:rsid w:val="1F100337"/>
    <w:rsid w:val="1F43309D"/>
    <w:rsid w:val="227DF88D"/>
    <w:rsid w:val="27E484C7"/>
    <w:rsid w:val="2A16B570"/>
    <w:rsid w:val="37EE3F97"/>
    <w:rsid w:val="39C46B6D"/>
    <w:rsid w:val="3A8ACC37"/>
    <w:rsid w:val="3FD9E262"/>
    <w:rsid w:val="415BB97E"/>
    <w:rsid w:val="4752035C"/>
    <w:rsid w:val="47F57A7D"/>
    <w:rsid w:val="49F2BB75"/>
    <w:rsid w:val="4A0B50CE"/>
    <w:rsid w:val="4E802D6F"/>
    <w:rsid w:val="53678BE6"/>
    <w:rsid w:val="5D30A5F0"/>
    <w:rsid w:val="5D93EF40"/>
    <w:rsid w:val="6022D394"/>
    <w:rsid w:val="62CE8A71"/>
    <w:rsid w:val="62F4B2D8"/>
    <w:rsid w:val="694D8E86"/>
    <w:rsid w:val="699530E2"/>
    <w:rsid w:val="6AE95EE7"/>
    <w:rsid w:val="74764876"/>
    <w:rsid w:val="7F86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A312"/>
  <w15:docId w15:val="{A8D01FB0-8693-40D4-AAD6-55A64C83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35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93522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7BF5E-012C-402B-B5CA-38CDC770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7</Pages>
  <Words>1762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15</cp:revision>
  <cp:lastPrinted>2019-02-06T22:12:00Z</cp:lastPrinted>
  <dcterms:created xsi:type="dcterms:W3CDTF">2021-12-14T14:08:00Z</dcterms:created>
  <dcterms:modified xsi:type="dcterms:W3CDTF">2024-08-22T06:51:00Z</dcterms:modified>
</cp:coreProperties>
</file>