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55024" w14:textId="77777777" w:rsidR="00AC1AD2" w:rsidRDefault="00997F14" w:rsidP="00AC1AD2">
      <w:pPr>
        <w:spacing w:line="240" w:lineRule="auto"/>
        <w:jc w:val="right"/>
        <w:rPr>
          <w:rFonts w:ascii="Corbel" w:hAnsi="Corbel"/>
          <w:bCs/>
          <w:i/>
        </w:rPr>
      </w:pPr>
      <w:r w:rsidRPr="6FECF589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1AD2">
        <w:rPr>
          <w:rFonts w:ascii="Corbel" w:hAnsi="Corbel"/>
          <w:bCs/>
          <w:i/>
        </w:rPr>
        <w:t>Załącznik nr 1.5 do Zarządzenia Rektora UR nr 7/2023</w:t>
      </w:r>
    </w:p>
    <w:p w14:paraId="647078F3" w14:textId="77777777" w:rsidR="00AC1AD2" w:rsidRDefault="00AC1AD2" w:rsidP="00AC1AD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9DCF67E" w14:textId="77777777" w:rsidR="00AC1AD2" w:rsidRDefault="00AC1AD2" w:rsidP="00AC1AD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3CE90F0C" w14:textId="77777777" w:rsidR="00AC1AD2" w:rsidRDefault="00AC1AD2" w:rsidP="00AC1AD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A1C3714" w14:textId="77777777" w:rsidR="00AC1AD2" w:rsidRDefault="00AC1AD2" w:rsidP="00AC1A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3779C3D9" w14:textId="77777777" w:rsidR="00AC1AD2" w:rsidRDefault="00AC1AD2" w:rsidP="00AC1AD2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74A2A" w14:paraId="746AF4AA" w14:textId="77777777" w:rsidTr="6EED8762">
        <w:tc>
          <w:tcPr>
            <w:tcW w:w="2694" w:type="dxa"/>
            <w:vAlign w:val="center"/>
          </w:tcPr>
          <w:p w14:paraId="59701564" w14:textId="77777777" w:rsidR="0085747A" w:rsidRPr="00274A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1559D3" w14:textId="77777777" w:rsidR="0085747A" w:rsidRPr="00274A2A" w:rsidRDefault="0082370A" w:rsidP="6EED8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6EED8762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Wybrane polityki</w:t>
            </w:r>
            <w:r w:rsidR="00B2602D" w:rsidRPr="6EED8762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 xml:space="preserve"> UE</w:t>
            </w:r>
          </w:p>
        </w:tc>
      </w:tr>
      <w:tr w:rsidR="0085747A" w:rsidRPr="00274A2A" w14:paraId="281BFE5A" w14:textId="77777777" w:rsidTr="6EED8762">
        <w:tc>
          <w:tcPr>
            <w:tcW w:w="2694" w:type="dxa"/>
            <w:vAlign w:val="center"/>
          </w:tcPr>
          <w:p w14:paraId="4CA29152" w14:textId="77777777" w:rsidR="0085747A" w:rsidRPr="00274A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74A2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D7C87E" w14:textId="77777777" w:rsidR="0085747A" w:rsidRPr="00274A2A" w:rsidRDefault="00274A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MK_55</w:t>
            </w:r>
          </w:p>
        </w:tc>
      </w:tr>
      <w:tr w:rsidR="0085747A" w:rsidRPr="00274A2A" w14:paraId="5C0172EC" w14:textId="77777777" w:rsidTr="6EED8762">
        <w:tc>
          <w:tcPr>
            <w:tcW w:w="2694" w:type="dxa"/>
            <w:vAlign w:val="center"/>
          </w:tcPr>
          <w:p w14:paraId="249A5C16" w14:textId="77777777" w:rsidR="0085747A" w:rsidRPr="00274A2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74A2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74A2A" w14:paraId="52EF737E" w14:textId="77777777" w:rsidTr="6EED8762">
        <w:tc>
          <w:tcPr>
            <w:tcW w:w="2694" w:type="dxa"/>
            <w:vAlign w:val="center"/>
          </w:tcPr>
          <w:p w14:paraId="0A39E105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2F18E36C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6EED876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Instytut Nauk Prawnych</w:t>
            </w:r>
          </w:p>
        </w:tc>
      </w:tr>
      <w:tr w:rsidR="0085747A" w:rsidRPr="00274A2A" w14:paraId="58415E7B" w14:textId="77777777" w:rsidTr="6EED8762">
        <w:tc>
          <w:tcPr>
            <w:tcW w:w="2694" w:type="dxa"/>
            <w:vAlign w:val="center"/>
          </w:tcPr>
          <w:p w14:paraId="4B835047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274A2A" w14:paraId="11529C0C" w14:textId="77777777" w:rsidTr="6EED8762">
        <w:tc>
          <w:tcPr>
            <w:tcW w:w="2694" w:type="dxa"/>
            <w:vAlign w:val="center"/>
          </w:tcPr>
          <w:p w14:paraId="448A1CED" w14:textId="77777777" w:rsidR="0085747A" w:rsidRPr="00274A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274A2A" w14:paraId="3A488BE5" w14:textId="77777777" w:rsidTr="6EED8762">
        <w:tc>
          <w:tcPr>
            <w:tcW w:w="2694" w:type="dxa"/>
            <w:vAlign w:val="center"/>
          </w:tcPr>
          <w:p w14:paraId="04C0481C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274A2A" w:rsidRDefault="00274A2A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Ogólnoakademicki</w:t>
            </w:r>
          </w:p>
        </w:tc>
      </w:tr>
      <w:tr w:rsidR="0085747A" w:rsidRPr="00274A2A" w14:paraId="5C70B2EB" w14:textId="77777777" w:rsidTr="6EED8762">
        <w:tc>
          <w:tcPr>
            <w:tcW w:w="2694" w:type="dxa"/>
            <w:vAlign w:val="center"/>
          </w:tcPr>
          <w:p w14:paraId="7C3992E0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274A2A" w14:paraId="3CA2651D" w14:textId="77777777" w:rsidTr="6EED8762">
        <w:tc>
          <w:tcPr>
            <w:tcW w:w="2694" w:type="dxa"/>
            <w:vAlign w:val="center"/>
          </w:tcPr>
          <w:p w14:paraId="47AAF248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74A2A">
              <w:rPr>
                <w:rFonts w:ascii="Corbel" w:hAnsi="Corbel"/>
                <w:sz w:val="24"/>
                <w:szCs w:val="24"/>
              </w:rPr>
              <w:t>/y</w:t>
            </w:r>
            <w:r w:rsidRPr="00274A2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04B3A" w14:textId="46707E7B" w:rsidR="0085747A" w:rsidRPr="00274A2A" w:rsidRDefault="00B2602D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607ADC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 </w:t>
            </w: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IV</w:t>
            </w:r>
          </w:p>
        </w:tc>
      </w:tr>
      <w:tr w:rsidR="0085747A" w:rsidRPr="00274A2A" w14:paraId="10ED0215" w14:textId="77777777" w:rsidTr="6EED8762">
        <w:tc>
          <w:tcPr>
            <w:tcW w:w="2694" w:type="dxa"/>
            <w:vAlign w:val="center"/>
          </w:tcPr>
          <w:p w14:paraId="5863A118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11AD53" w14:textId="77777777" w:rsidR="0085747A" w:rsidRPr="00274A2A" w:rsidRDefault="00EE5584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274A2A">
              <w:rPr>
                <w:rFonts w:ascii="Corbel" w:hAnsi="Corbel" w:cs="Courier New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274A2A" w14:paraId="26EB6C12" w14:textId="77777777" w:rsidTr="6EED8762">
        <w:tc>
          <w:tcPr>
            <w:tcW w:w="2694" w:type="dxa"/>
            <w:vAlign w:val="center"/>
          </w:tcPr>
          <w:p w14:paraId="13A990D4" w14:textId="77777777" w:rsidR="00923D7D" w:rsidRPr="00274A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274A2A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274A2A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274A2A" w14:paraId="3E543895" w14:textId="77777777" w:rsidTr="6EED8762">
        <w:tc>
          <w:tcPr>
            <w:tcW w:w="2694" w:type="dxa"/>
            <w:vAlign w:val="center"/>
          </w:tcPr>
          <w:p w14:paraId="69C2AF6E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274A2A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hab. Lidia Brodowski, prof. UR</w:t>
            </w:r>
          </w:p>
        </w:tc>
      </w:tr>
      <w:tr w:rsidR="0085747A" w:rsidRPr="00274A2A" w14:paraId="1168DF8B" w14:textId="77777777" w:rsidTr="6EED8762">
        <w:tc>
          <w:tcPr>
            <w:tcW w:w="2694" w:type="dxa"/>
            <w:vAlign w:val="center"/>
          </w:tcPr>
          <w:p w14:paraId="471FE442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6A963C" w14:textId="77777777" w:rsidR="0085747A" w:rsidRPr="00274A2A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Anna Marcisz – Dynia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900"/>
        <w:gridCol w:w="720"/>
        <w:gridCol w:w="1065"/>
        <w:gridCol w:w="795"/>
        <w:gridCol w:w="795"/>
        <w:gridCol w:w="630"/>
        <w:gridCol w:w="945"/>
        <w:gridCol w:w="1028"/>
        <w:gridCol w:w="1505"/>
      </w:tblGrid>
      <w:tr w:rsidR="00015B8F" w:rsidRPr="009C54AE" w14:paraId="4A00F406" w14:textId="77777777" w:rsidTr="6EED8762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1D412D" w14:textId="77777777" w:rsidTr="6EED8762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B260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274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823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00F38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3B9B">
        <w:rPr>
          <w:rFonts w:ascii="MS Gothic" w:eastAsia="MS Gothic" w:hAnsi="MS Gothic" w:cs="MS Gothic" w:hint="eastAsia"/>
          <w:b w:val="0"/>
          <w:color w:val="00000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D75C7DC" w:rsidR="00E22FBC" w:rsidRPr="009C54AE" w:rsidRDefault="00E22FBC" w:rsidP="6FECF5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CF589">
        <w:rPr>
          <w:rFonts w:ascii="Corbel" w:hAnsi="Corbel"/>
          <w:smallCaps w:val="0"/>
        </w:rPr>
        <w:t xml:space="preserve">1.3 </w:t>
      </w:r>
      <w:r>
        <w:tab/>
      </w:r>
      <w:r w:rsidRPr="6FECF589">
        <w:rPr>
          <w:rFonts w:ascii="Corbel" w:hAnsi="Corbel"/>
          <w:smallCaps w:val="0"/>
        </w:rPr>
        <w:t>For</w:t>
      </w:r>
      <w:r w:rsidR="00445970" w:rsidRPr="6FECF589">
        <w:rPr>
          <w:rFonts w:ascii="Corbel" w:hAnsi="Corbel"/>
          <w:smallCaps w:val="0"/>
        </w:rPr>
        <w:t xml:space="preserve">ma zaliczenia przedmiotu </w:t>
      </w:r>
      <w:r w:rsidRPr="6FECF589">
        <w:rPr>
          <w:rFonts w:ascii="Corbel" w:hAnsi="Corbel"/>
          <w:smallCaps w:val="0"/>
        </w:rPr>
        <w:t xml:space="preserve">(z toku) </w:t>
      </w:r>
      <w:r w:rsidRPr="6FECF589">
        <w:rPr>
          <w:rFonts w:ascii="Corbel" w:hAnsi="Corbel"/>
          <w:b w:val="0"/>
          <w:smallCaps w:val="0"/>
        </w:rPr>
        <w:t>(egzamin, zaliczenie z oceną, zaliczenie bez oceny)</w:t>
      </w:r>
    </w:p>
    <w:p w14:paraId="63D47C20" w14:textId="77777777" w:rsidR="00AC1AD2" w:rsidRDefault="00AC1AD2" w:rsidP="6EED87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orbel" w:hAnsi="Corbel" w:cs="Corbel"/>
        </w:rPr>
      </w:pPr>
    </w:p>
    <w:p w14:paraId="3391F72B" w14:textId="238942CD" w:rsidR="00E1378B" w:rsidRPr="00554D1E" w:rsidRDefault="00274A2A" w:rsidP="6EED87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orbel" w:hAnsi="Corbel" w:cs="Corbel"/>
        </w:rPr>
      </w:pPr>
      <w:r w:rsidRPr="6EED8762">
        <w:rPr>
          <w:rFonts w:ascii="Corbel" w:eastAsia="Corbel" w:hAnsi="Corbel" w:cs="Corbel"/>
        </w:rPr>
        <w:t xml:space="preserve">Konwersatorium </w:t>
      </w:r>
      <w:r w:rsidR="00E1378B" w:rsidRPr="6EED8762">
        <w:rPr>
          <w:rFonts w:ascii="Corbel" w:eastAsia="Corbel" w:hAnsi="Corbel" w:cs="Corbel"/>
        </w:rPr>
        <w:t>- zaliczenie z oceną - test</w:t>
      </w:r>
    </w:p>
    <w:p w14:paraId="0FB78278" w14:textId="77777777" w:rsidR="00E1378B" w:rsidRDefault="00E1378B" w:rsidP="00E1378B">
      <w:pPr>
        <w:spacing w:after="0" w:line="240" w:lineRule="auto"/>
        <w:ind w:left="720"/>
        <w:contextualSpacing/>
        <w:jc w:val="both"/>
        <w:rPr>
          <w:rFonts w:ascii="Times New Roman" w:eastAsia="Cambria" w:hAnsi="Times New Roman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EED8762">
        <w:rPr>
          <w:rFonts w:ascii="Corbel" w:hAnsi="Corbel"/>
        </w:rPr>
        <w:t xml:space="preserve">2.Wymagania wstępne </w:t>
      </w:r>
    </w:p>
    <w:p w14:paraId="7DF11EE3" w14:textId="6A72228E" w:rsidR="6EED8762" w:rsidRDefault="6EED8762" w:rsidP="6EED876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884EF" w14:textId="77777777" w:rsidTr="00745302">
        <w:tc>
          <w:tcPr>
            <w:tcW w:w="9670" w:type="dxa"/>
          </w:tcPr>
          <w:p w14:paraId="483D41B7" w14:textId="77777777" w:rsidR="0085747A" w:rsidRPr="00274A2A" w:rsidRDefault="0048467C" w:rsidP="0048467C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274A2A">
              <w:rPr>
                <w:rFonts w:ascii="Corbel" w:hAnsi="Corbel"/>
                <w:b w:val="0"/>
                <w:color w:val="000000"/>
                <w:szCs w:val="24"/>
              </w:rPr>
              <w:t>Podstawowa wiedza z zakresu wstępu do prawoznawstwa</w:t>
            </w:r>
          </w:p>
        </w:tc>
      </w:tr>
    </w:tbl>
    <w:p w14:paraId="34CE0A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C4ABB95" w:rsidR="0085747A" w:rsidRPr="00C05F44" w:rsidRDefault="003E1C60" w:rsidP="6FECF589">
      <w:pPr>
        <w:pStyle w:val="Punktygwne"/>
        <w:spacing w:before="0" w:after="0"/>
        <w:rPr>
          <w:rFonts w:ascii="Corbel" w:hAnsi="Corbel"/>
        </w:rPr>
      </w:pPr>
      <w:bookmarkStart w:id="0" w:name="_GoBack"/>
      <w:bookmarkEnd w:id="0"/>
      <w:r>
        <w:rPr>
          <w:rFonts w:ascii="Corbel" w:hAnsi="Corbel"/>
        </w:rPr>
        <w:br w:type="column"/>
      </w:r>
      <w:r w:rsidR="0071620A" w:rsidRPr="6FECF589">
        <w:rPr>
          <w:rFonts w:ascii="Corbel" w:hAnsi="Corbel"/>
        </w:rPr>
        <w:lastRenderedPageBreak/>
        <w:t>3.</w:t>
      </w:r>
      <w:r w:rsidR="0085747A" w:rsidRPr="6FECF589">
        <w:rPr>
          <w:rFonts w:ascii="Corbel" w:hAnsi="Corbel"/>
        </w:rPr>
        <w:t xml:space="preserve"> </w:t>
      </w:r>
      <w:r w:rsidR="00A84C85" w:rsidRPr="6FECF589">
        <w:rPr>
          <w:rFonts w:ascii="Corbel" w:hAnsi="Corbel"/>
        </w:rPr>
        <w:t>cele, efekty uczenia się</w:t>
      </w:r>
      <w:r w:rsidR="0085747A" w:rsidRPr="6FECF589">
        <w:rPr>
          <w:rFonts w:ascii="Corbel" w:hAnsi="Corbel"/>
        </w:rPr>
        <w:t>, treści Programowe i stosowane metody Dydaktyczne</w:t>
      </w:r>
    </w:p>
    <w:p w14:paraId="62EBF3C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98A1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968"/>
      </w:tblGrid>
      <w:tr w:rsidR="00B2602D" w:rsidRPr="00632618" w14:paraId="21D5DC4E" w14:textId="77777777" w:rsidTr="6EED8762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77777777" w:rsidR="00B2602D" w:rsidRPr="00B2602D" w:rsidRDefault="00B2602D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B04F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765BA9F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82370A">
              <w:rPr>
                <w:rFonts w:ascii="Corbel" w:hAnsi="Corbel"/>
                <w:b w:val="0"/>
                <w:sz w:val="24"/>
                <w:szCs w:val="24"/>
              </w:rPr>
              <w:t>zakresu przedmiotowego polityk i działań wewnętrznych UE,</w:t>
            </w: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2946DB82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2370A" w:rsidRPr="00632618" w14:paraId="5DA0822C" w14:textId="77777777" w:rsidTr="6EED8762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82370A" w:rsidRPr="00B2602D" w:rsidRDefault="0082370A" w:rsidP="00B2602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E80D" w14:textId="77777777" w:rsidR="0082370A" w:rsidRPr="00B2602D" w:rsidRDefault="0082370A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Scharakteryzowanie przepisów prawnych w dziedzinie polityk UE,</w:t>
            </w:r>
          </w:p>
        </w:tc>
      </w:tr>
      <w:tr w:rsidR="00B2602D" w:rsidRPr="00632618" w14:paraId="1ACEFD9A" w14:textId="77777777" w:rsidTr="6EED8762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B2602D" w:rsidRPr="00B2602D" w:rsidRDefault="0082370A" w:rsidP="00B2602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36C4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Omówienie charakteru prawnego</w:t>
            </w:r>
            <w:r w:rsidR="0082370A">
              <w:rPr>
                <w:rFonts w:ascii="Corbel" w:hAnsi="Corbel"/>
                <w:b w:val="0"/>
                <w:sz w:val="24"/>
                <w:szCs w:val="24"/>
              </w:rPr>
              <w:t xml:space="preserve"> dziedzin</w:t>
            </w: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2370A">
              <w:rPr>
                <w:rFonts w:ascii="Corbel" w:hAnsi="Corbel"/>
                <w:b w:val="0"/>
                <w:sz w:val="24"/>
                <w:szCs w:val="24"/>
              </w:rPr>
              <w:t>kompetencji wyłącznych UE,</w:t>
            </w:r>
          </w:p>
          <w:p w14:paraId="5997CC1D" w14:textId="77777777" w:rsidR="00B2602D" w:rsidRPr="00B2602D" w:rsidRDefault="00B2602D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2602D" w:rsidRPr="00632618" w14:paraId="616E6714" w14:textId="77777777" w:rsidTr="6EED8762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2602D" w:rsidRPr="00B2602D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6DA9" w14:textId="77777777" w:rsidR="0082370A" w:rsidRPr="00B2602D" w:rsidRDefault="0082370A" w:rsidP="008237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Omówienie charakteru prawnego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dziedzin</w:t>
            </w: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 dzielonych UE,</w:t>
            </w:r>
          </w:p>
          <w:p w14:paraId="110FFD37" w14:textId="77777777" w:rsidR="00B2602D" w:rsidRPr="00B2602D" w:rsidRDefault="00B2602D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2602D" w:rsidRPr="00632618" w14:paraId="3F7C5AE0" w14:textId="77777777" w:rsidTr="6EED8762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B2602D" w:rsidRPr="00B2602D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3F77" w14:textId="6EE10297" w:rsidR="00B2602D" w:rsidRPr="00B2602D" w:rsidRDefault="0082370A" w:rsidP="008237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EED8762">
              <w:rPr>
                <w:rFonts w:ascii="Corbel" w:hAnsi="Corbel"/>
                <w:b w:val="0"/>
                <w:sz w:val="24"/>
                <w:szCs w:val="24"/>
              </w:rPr>
              <w:t>Omówienie charakteru prawnego dziedzin kompetencji wspierających, koordynujących i</w:t>
            </w:r>
            <w:r w:rsidR="44191CCB" w:rsidRPr="6EED87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EED8762">
              <w:rPr>
                <w:rFonts w:ascii="Corbel" w:hAnsi="Corbel"/>
                <w:b w:val="0"/>
                <w:sz w:val="24"/>
                <w:szCs w:val="24"/>
              </w:rPr>
              <w:t>uzupełniających działania państw członkowskich,</w:t>
            </w:r>
          </w:p>
        </w:tc>
      </w:tr>
      <w:tr w:rsidR="0082370A" w:rsidRPr="00632618" w14:paraId="014189E4" w14:textId="77777777" w:rsidTr="6EED8762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6C2" w14:textId="77777777" w:rsidR="0082370A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A966" w14:textId="77777777" w:rsidR="0082370A" w:rsidRPr="0082370A" w:rsidRDefault="0082370A" w:rsidP="008237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Porównanie uregulowań prawnych dotyczących prowadzonej polityki wewnętrznej UE,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E9F23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6EED876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602D" w:rsidRPr="00632618" w14:paraId="71BC0080" w14:textId="77777777" w:rsidTr="6EED87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4226" w14:textId="77777777" w:rsidR="00B2602D" w:rsidRPr="00B2602D" w:rsidRDefault="0017030E" w:rsidP="006D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</w:t>
            </w:r>
            <w:r w:rsidR="00B2602D"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jaką rolę spełnia prawo Unii Europejskiej </w:t>
            </w:r>
            <w:r w:rsidR="006D402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2602D"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porządku ustrojowym Rzeczypospolitej Polskiej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99A" w14:textId="77777777" w:rsidR="00746CB5" w:rsidRDefault="00746CB5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  <w:p w14:paraId="0AD3A7D1" w14:textId="77777777" w:rsidR="00746CB5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1A75E0E" w14:textId="77777777" w:rsidR="00746CB5" w:rsidRPr="00B2602D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2602D" w:rsidRPr="00632618" w14:paraId="0C9A9558" w14:textId="77777777" w:rsidTr="6EED87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B60F" w14:textId="77777777" w:rsidR="00B2602D" w:rsidRPr="00B2602D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 w:rsidR="00B2602D"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różnice pomiędzy prawem Unii Europejskiej a prawem międzynarodowym</w:t>
            </w:r>
            <w:r w:rsidR="006D4023">
              <w:rPr>
                <w:rFonts w:ascii="Corbel" w:hAnsi="Corbel"/>
                <w:b w:val="0"/>
                <w:smallCaps w:val="0"/>
                <w:szCs w:val="24"/>
              </w:rPr>
              <w:t xml:space="preserve"> i krajowym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2A2F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74A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CC139A" w14:textId="77777777" w:rsidR="00746CB5" w:rsidRPr="00B2602D" w:rsidRDefault="0017030E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</w:tc>
      </w:tr>
      <w:tr w:rsidR="00B2602D" w:rsidRPr="00632618" w14:paraId="5D6CDB89" w14:textId="77777777" w:rsidTr="6EED87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AC8D" w14:textId="77777777" w:rsidR="00B2602D" w:rsidRPr="00B2602D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 w:rsidR="00B2602D"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główne instytucje Unii Europejskiej oraz potrafi wskazać ich rolę w procesie decyzyjnym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BC0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74A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50E9CF3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74A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C5B2A44" w14:textId="77777777" w:rsidR="00746CB5" w:rsidRPr="00B2602D" w:rsidRDefault="00746CB5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2602D" w:rsidRPr="00632618" w14:paraId="53C07CB8" w14:textId="77777777" w:rsidTr="6EED8762">
        <w:trPr>
          <w:trHeight w:val="4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2827" w14:textId="77777777" w:rsidR="00B2602D" w:rsidRPr="00B2602D" w:rsidRDefault="0017030E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scharakteryzować</w:t>
            </w:r>
            <w:r w:rsidR="00B2602D"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D4023">
              <w:rPr>
                <w:rFonts w:ascii="Corbel" w:hAnsi="Corbel"/>
                <w:b w:val="0"/>
                <w:smallCaps w:val="0"/>
                <w:szCs w:val="24"/>
              </w:rPr>
              <w:t>źródła prawa UE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627F" w14:textId="77777777" w:rsidR="00B2602D" w:rsidRDefault="00B2602D" w:rsidP="6EED8762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</w:rPr>
            </w:pPr>
            <w:r w:rsidRPr="6EED8762">
              <w:rPr>
                <w:rFonts w:ascii="Corbel" w:hAnsi="Corbel"/>
                <w:b w:val="0"/>
                <w:smallCaps w:val="0"/>
              </w:rPr>
              <w:t>K_U</w:t>
            </w:r>
            <w:r w:rsidR="00274A2A" w:rsidRPr="6EED8762">
              <w:rPr>
                <w:rFonts w:ascii="Corbel" w:hAnsi="Corbel"/>
                <w:b w:val="0"/>
                <w:smallCaps w:val="0"/>
              </w:rPr>
              <w:t>0</w:t>
            </w:r>
            <w:r w:rsidRPr="6EED8762">
              <w:rPr>
                <w:rFonts w:ascii="Corbel" w:hAnsi="Corbel"/>
                <w:b w:val="0"/>
                <w:smallCaps w:val="0"/>
              </w:rPr>
              <w:t>3,</w:t>
            </w:r>
          </w:p>
          <w:p w14:paraId="661AB4C3" w14:textId="77777777" w:rsidR="0017030E" w:rsidRPr="00B2602D" w:rsidRDefault="0017030E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2602D" w:rsidRPr="00632618" w14:paraId="7A65F0F0" w14:textId="77777777" w:rsidTr="6EED87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32E5" w14:textId="77777777" w:rsidR="00B2602D" w:rsidRPr="00B2602D" w:rsidRDefault="0017030E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6D4023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6D4023">
              <w:rPr>
                <w:rFonts w:ascii="Corbel" w:hAnsi="Corbel"/>
                <w:b w:val="0"/>
                <w:smallCaps w:val="0"/>
                <w:szCs w:val="24"/>
              </w:rPr>
              <w:t xml:space="preserve"> przepisy prawne UE dotyczące polityk UE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E7D1" w14:textId="77777777" w:rsidR="00746CB5" w:rsidRDefault="00B2602D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7030E">
              <w:rPr>
                <w:rFonts w:ascii="Corbel" w:hAnsi="Corbel"/>
                <w:b w:val="0"/>
                <w:smallCaps w:val="0"/>
                <w:szCs w:val="24"/>
              </w:rPr>
              <w:t>U01,</w:t>
            </w:r>
          </w:p>
          <w:p w14:paraId="5E6EAEE4" w14:textId="77777777" w:rsidR="0017030E" w:rsidRPr="00B2602D" w:rsidRDefault="0017030E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2602D" w:rsidRPr="00632618" w14:paraId="2109E578" w14:textId="77777777" w:rsidTr="6EED87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C4B0" w14:textId="1FFA0C5D" w:rsidR="00B2602D" w:rsidRPr="00B2602D" w:rsidRDefault="5BA9DE31" w:rsidP="6EED87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ED8762">
              <w:rPr>
                <w:rFonts w:ascii="Corbel" w:hAnsi="Corbel"/>
                <w:b w:val="0"/>
                <w:smallCaps w:val="0"/>
              </w:rPr>
              <w:t>Student jest gotów w</w:t>
            </w:r>
            <w:r w:rsidR="31CDE17F" w:rsidRPr="6EED8762">
              <w:rPr>
                <w:rFonts w:ascii="Corbel" w:hAnsi="Corbel"/>
                <w:b w:val="0"/>
                <w:smallCaps w:val="0"/>
              </w:rPr>
              <w:t>ymieni</w:t>
            </w:r>
            <w:r w:rsidRPr="6EED8762">
              <w:rPr>
                <w:rFonts w:ascii="Corbel" w:hAnsi="Corbel"/>
                <w:b w:val="0"/>
                <w:smallCaps w:val="0"/>
              </w:rPr>
              <w:t>ć</w:t>
            </w:r>
            <w:r w:rsidR="31CDE17F" w:rsidRPr="6EED8762">
              <w:rPr>
                <w:rFonts w:ascii="Corbel" w:hAnsi="Corbel"/>
                <w:b w:val="0"/>
                <w:smallCaps w:val="0"/>
              </w:rPr>
              <w:t xml:space="preserve"> dziedziny kompetencji wyłącznych, dzielonych i wspierających, koordynujących i</w:t>
            </w:r>
            <w:r w:rsidR="41AF97DA" w:rsidRPr="6EED8762">
              <w:rPr>
                <w:rFonts w:ascii="Corbel" w:hAnsi="Corbel"/>
                <w:b w:val="0"/>
                <w:smallCaps w:val="0"/>
              </w:rPr>
              <w:t xml:space="preserve"> </w:t>
            </w:r>
            <w:r w:rsidR="31CDE17F" w:rsidRPr="6EED8762">
              <w:rPr>
                <w:rFonts w:ascii="Corbel" w:hAnsi="Corbel"/>
                <w:b w:val="0"/>
                <w:smallCaps w:val="0"/>
              </w:rPr>
              <w:t xml:space="preserve">uzupełaniających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746CB5" w:rsidRP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7030E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2602D" w:rsidRPr="00632618" w14:paraId="566EC4EF" w14:textId="77777777" w:rsidTr="6EED87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996A" w14:textId="77777777" w:rsidR="00B2602D" w:rsidRPr="00B2602D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</w:t>
            </w:r>
            <w:r w:rsidR="00B2602D"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wskazać wybrane orzecznictwo Trybunału Konstytucyjnego w Polsce dotyczące problematyki prawa Unii Europejskiej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0DC1" w14:textId="77777777" w:rsidR="0017030E" w:rsidRDefault="00214BE8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K_K01,</w:t>
            </w:r>
          </w:p>
          <w:p w14:paraId="5B2AA153" w14:textId="77777777" w:rsidR="0017030E" w:rsidRPr="00B2602D" w:rsidRDefault="0017030E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CE6F91" w14:textId="77777777" w:rsidR="00B35F46" w:rsidRPr="009C54AE" w:rsidRDefault="00B35F46" w:rsidP="00B35F4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B2602D" w:rsidRPr="00DC5C55" w14:paraId="3A3AF27E" w14:textId="77777777" w:rsidTr="6EED8762">
        <w:trPr>
          <w:trHeight w:val="216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2EA" w14:textId="77777777" w:rsidR="00B2602D" w:rsidRPr="00DC5C55" w:rsidRDefault="00B2602D" w:rsidP="00B260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Treści merytoryczne:</w:t>
            </w:r>
          </w:p>
        </w:tc>
      </w:tr>
      <w:tr w:rsidR="00B2602D" w:rsidRPr="00632618" w14:paraId="23DE523C" w14:textId="77777777" w:rsidTr="6EED8762">
        <w:trPr>
          <w:trHeight w:val="216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4792D0EE" w:rsidR="00B2602D" w:rsidRPr="00B2602D" w:rsidRDefault="3AFC50CA" w:rsidP="6EED8762">
            <w:pPr>
              <w:pStyle w:val="Akapitzlist"/>
              <w:ind w:left="708" w:hanging="708"/>
              <w:rPr>
                <w:rFonts w:ascii="Corbel" w:eastAsia="Corbel" w:hAnsi="Corbel" w:cs="Corbel"/>
              </w:rPr>
            </w:pPr>
            <w:r w:rsidRPr="6EED8762">
              <w:rPr>
                <w:rFonts w:ascii="Corbel" w:eastAsia="Corbel" w:hAnsi="Corbel" w:cs="Corbel"/>
              </w:rPr>
              <w:lastRenderedPageBreak/>
              <w:t>Nie dotyczy</w:t>
            </w:r>
          </w:p>
        </w:tc>
      </w:tr>
    </w:tbl>
    <w:p w14:paraId="5043CB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EED876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EED8762">
        <w:rPr>
          <w:rFonts w:ascii="Corbel" w:hAnsi="Corbel"/>
          <w:sz w:val="24"/>
          <w:szCs w:val="24"/>
        </w:rPr>
        <w:t xml:space="preserve">, </w:t>
      </w:r>
      <w:r w:rsidRPr="6EED876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74A2A" w:rsidRPr="00DC5C55" w14:paraId="46A81729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6EF4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Treści merytoryczne:</w:t>
            </w:r>
          </w:p>
        </w:tc>
      </w:tr>
      <w:tr w:rsidR="00274A2A" w:rsidRPr="00DC5C55" w14:paraId="797F8BB6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6086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źródeł prawa UE,</w:t>
            </w:r>
          </w:p>
        </w:tc>
      </w:tr>
      <w:tr w:rsidR="00274A2A" w:rsidRPr="00DC5C55" w14:paraId="246AD7B5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25D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 xml:space="preserve">Ogólna charakterystyka działań wewnętrznych UE, </w:t>
            </w:r>
          </w:p>
        </w:tc>
      </w:tr>
      <w:tr w:rsidR="00274A2A" w:rsidRPr="00DC5C55" w14:paraId="3E7578AB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A8E4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i analiza przepisów prawa UE dotyczących polityk UE,</w:t>
            </w:r>
          </w:p>
        </w:tc>
      </w:tr>
      <w:tr w:rsidR="00274A2A" w:rsidRPr="00DC5C55" w14:paraId="587100EC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65B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kompetencji wyłącznych UE,</w:t>
            </w:r>
          </w:p>
        </w:tc>
      </w:tr>
      <w:tr w:rsidR="00274A2A" w:rsidRPr="00DC5C55" w14:paraId="288C96A8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75F1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kompetencji dzielonych UE,</w:t>
            </w:r>
          </w:p>
        </w:tc>
      </w:tr>
      <w:tr w:rsidR="00274A2A" w:rsidRPr="00DC5C55" w14:paraId="2D8E62A4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67F2" w14:textId="77777777" w:rsidR="00274A2A" w:rsidRPr="00DC5C55" w:rsidRDefault="00274A2A" w:rsidP="00791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kompetencji wspierających, koordynujących i uzupełniających UE,</w:t>
            </w:r>
          </w:p>
        </w:tc>
      </w:tr>
      <w:tr w:rsidR="00274A2A" w:rsidRPr="00DC5C55" w14:paraId="5F02A0D6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3EE9" w14:textId="77777777" w:rsidR="00274A2A" w:rsidRPr="00DC5C55" w:rsidRDefault="00274A2A" w:rsidP="00791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Analiza orzecznictwa dotyczącego polityk UE,</w:t>
            </w:r>
          </w:p>
        </w:tc>
      </w:tr>
      <w:tr w:rsidR="00274A2A" w:rsidRPr="00DC5C55" w14:paraId="6336EFCD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2355" w14:textId="77777777" w:rsidR="00274A2A" w:rsidRPr="00DC5C55" w:rsidRDefault="00274A2A" w:rsidP="00791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 xml:space="preserve">Charakterystyka instytucji UE realizujących polityki UE,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FEB10" w14:textId="77777777" w:rsidR="005561FE" w:rsidRPr="00DC5C55" w:rsidRDefault="00274A2A" w:rsidP="6EED876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  <w:szCs w:val="24"/>
        </w:rPr>
      </w:pPr>
      <w:r w:rsidRPr="6EED8762">
        <w:rPr>
          <w:rFonts w:ascii="Corbel" w:eastAsia="Cambria" w:hAnsi="Corbel"/>
          <w:sz w:val="24"/>
          <w:szCs w:val="24"/>
        </w:rPr>
        <w:t xml:space="preserve">Konwersatorium </w:t>
      </w:r>
      <w:r w:rsidR="005561FE" w:rsidRPr="6EED8762">
        <w:rPr>
          <w:rFonts w:ascii="Corbel" w:eastAsia="Cambria" w:hAnsi="Corbel"/>
          <w:sz w:val="24"/>
          <w:szCs w:val="24"/>
        </w:rPr>
        <w:t>- analiza i interpretacja tekstów źródłowych, praca w grupach, dyskusja, metody kształcenia na odległość.</w:t>
      </w:r>
    </w:p>
    <w:p w14:paraId="144A5D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8610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EED8762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104122CA" w:rsidR="0085747A" w:rsidRPr="009C54AE" w:rsidRDefault="00A84C85" w:rsidP="6EED87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EED876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697BE09" w:rsidRPr="6EED876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0AEA" w:rsidRPr="009C54AE" w14:paraId="2F07710D" w14:textId="77777777" w:rsidTr="6EED8762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41CCF04" w14:textId="77777777" w:rsidR="00410AEA" w:rsidRPr="009C54AE" w:rsidRDefault="00410AEA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636E6465" w14:textId="38E5693A" w:rsidR="00410AEA" w:rsidRPr="009C54AE" w:rsidRDefault="0C693B1F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7B77DC6A" w14:textId="77777777" w:rsidTr="6EED8762">
        <w:tc>
          <w:tcPr>
            <w:tcW w:w="1985" w:type="dxa"/>
          </w:tcPr>
          <w:p w14:paraId="727CF0E4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BEF356" w14:textId="77777777" w:rsidR="0085747A" w:rsidRPr="009C54AE" w:rsidRDefault="00410AEA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168181B4" w14:textId="638E2C88" w:rsidR="0085747A" w:rsidRPr="009C54AE" w:rsidRDefault="05EA30A2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  <w:tr w:rsidR="00C024E6" w:rsidRPr="009C54AE" w14:paraId="2ABA5BFB" w14:textId="77777777" w:rsidTr="6EED8762">
        <w:tc>
          <w:tcPr>
            <w:tcW w:w="1985" w:type="dxa"/>
          </w:tcPr>
          <w:p w14:paraId="002D746F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EC65F84" w14:textId="77777777" w:rsidR="00C024E6" w:rsidRPr="009C54AE" w:rsidRDefault="00410AEA" w:rsidP="00556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5561FE"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10B9B308" w14:textId="11407CF9" w:rsidR="00C024E6" w:rsidRPr="009C54AE" w:rsidRDefault="4EEC1C16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55E9D454" w14:textId="77777777" w:rsidTr="6EED8762">
        <w:tc>
          <w:tcPr>
            <w:tcW w:w="1985" w:type="dxa"/>
          </w:tcPr>
          <w:p w14:paraId="3A04FA72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4D77923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214BE8"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3C583D2C" w14:textId="27D63DAD" w:rsidR="0085747A" w:rsidRPr="009C54AE" w:rsidRDefault="240A8F7B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  <w:tr w:rsidR="00214BE8" w:rsidRPr="009C54AE" w14:paraId="60401D49" w14:textId="77777777" w:rsidTr="6EED8762">
        <w:tc>
          <w:tcPr>
            <w:tcW w:w="1985" w:type="dxa"/>
          </w:tcPr>
          <w:p w14:paraId="4A2F1096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95F52D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4BE8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26ECD739" w14:textId="4C52ABA8" w:rsidR="00214BE8" w:rsidRDefault="37DC88B2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  <w:tr w:rsidR="00214BE8" w:rsidRPr="009C54AE" w14:paraId="64D38AAA" w14:textId="77777777" w:rsidTr="6EED8762">
        <w:tc>
          <w:tcPr>
            <w:tcW w:w="1985" w:type="dxa"/>
          </w:tcPr>
          <w:p w14:paraId="1E73F495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19CD04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4BE8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58AB1900" w14:textId="0421A092" w:rsidR="00214BE8" w:rsidRDefault="4DD1064D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  <w:tr w:rsidR="00214BE8" w:rsidRPr="009C54AE" w14:paraId="6128D825" w14:textId="77777777" w:rsidTr="6EED8762">
        <w:tc>
          <w:tcPr>
            <w:tcW w:w="1985" w:type="dxa"/>
          </w:tcPr>
          <w:p w14:paraId="1E02E8DD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3BD056D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4BE8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347E51A6" w14:textId="2A6CAD86" w:rsidR="00214BE8" w:rsidRDefault="71600C5B" w:rsidP="6EED87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EED8762">
              <w:rPr>
                <w:rFonts w:ascii="Corbel" w:hAnsi="Corbel"/>
                <w:b w:val="0"/>
              </w:rPr>
              <w:t>Konw</w:t>
            </w:r>
            <w:proofErr w:type="spellEnd"/>
            <w:r w:rsidRPr="6EED8762">
              <w:rPr>
                <w:rFonts w:ascii="Corbel" w:hAnsi="Corbel"/>
                <w:b w:val="0"/>
              </w:rPr>
              <w:t>.</w:t>
            </w:r>
          </w:p>
        </w:tc>
      </w:tr>
    </w:tbl>
    <w:p w14:paraId="463F29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B7B4B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5C55" w14:paraId="6094C37C" w14:textId="77777777" w:rsidTr="6EED8762">
        <w:tc>
          <w:tcPr>
            <w:tcW w:w="9670" w:type="dxa"/>
          </w:tcPr>
          <w:p w14:paraId="3A0FF5F2" w14:textId="77777777" w:rsidR="005561FE" w:rsidRPr="00DC5C55" w:rsidRDefault="005561FE" w:rsidP="002E39C7">
            <w:pPr>
              <w:tabs>
                <w:tab w:val="left" w:pos="6690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14:paraId="6712E16A" w14:textId="77777777" w:rsidR="0085747A" w:rsidRPr="00DC5C55" w:rsidRDefault="00274A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C55">
              <w:rPr>
                <w:rFonts w:ascii="Corbel" w:eastAsia="Cambria" w:hAnsi="Corbel"/>
                <w:smallCaps w:val="0"/>
              </w:rPr>
              <w:t>Konwersatorium</w:t>
            </w:r>
            <w:r w:rsidR="005561FE" w:rsidRPr="00DC5C55">
              <w:rPr>
                <w:rFonts w:ascii="Corbel" w:eastAsia="Cambria" w:hAnsi="Corbel"/>
                <w:smallCaps w:val="0"/>
              </w:rPr>
              <w:t xml:space="preserve"> </w:t>
            </w:r>
            <w:r w:rsidR="005561FE" w:rsidRPr="00DC5C55">
              <w:rPr>
                <w:rFonts w:ascii="Corbel" w:eastAsia="Cambria" w:hAnsi="Corbel"/>
                <w:b w:val="0"/>
                <w:smallCaps w:val="0"/>
              </w:rPr>
              <w:t xml:space="preserve">– zaliczenie - </w:t>
            </w:r>
            <w:r w:rsidR="00410AEA" w:rsidRPr="00DC5C55">
              <w:rPr>
                <w:rFonts w:ascii="Corbel" w:eastAsia="Cambria" w:hAnsi="Corbel"/>
                <w:b w:val="0"/>
                <w:smallCaps w:val="0"/>
                <w:lang w:eastAsia="pl-PL"/>
              </w:rPr>
              <w:t>test w</w:t>
            </w:r>
            <w:r w:rsidR="005561FE" w:rsidRPr="00DC5C55">
              <w:rPr>
                <w:rFonts w:ascii="Corbel" w:eastAsia="Cambria" w:hAnsi="Corbel"/>
                <w:b w:val="0"/>
                <w:smallCaps w:val="0"/>
                <w:lang w:eastAsia="pl-PL"/>
              </w:rPr>
              <w:t>ielokrotnego wyboru, obejmujący</w:t>
            </w:r>
            <w:r w:rsidR="00410AEA" w:rsidRPr="00DC5C55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20 pytań. Warunkiem uzyskania oceny pozytywnej jest zdobycie co najmniej 11 punktów. Na rozwiązanie testu student ma 20 minut. 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  <w:p w14:paraId="61829076" w14:textId="6D74771A" w:rsidR="0085747A" w:rsidRPr="00DC5C55" w:rsidRDefault="0085747A" w:rsidP="6EED87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2BA22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12C0E" w14:textId="77777777" w:rsidR="00607ADC" w:rsidRDefault="00607AD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0FCADD8" w14:textId="77777777" w:rsidR="00607ADC" w:rsidRDefault="00607AD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1A0272A" w14:textId="77777777" w:rsidR="00607ADC" w:rsidRDefault="00607AD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8A5F475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AD93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6EED8762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6630EA" w14:textId="77777777" w:rsidTr="6EED8762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EED8762">
              <w:rPr>
                <w:rFonts w:ascii="Corbel" w:hAnsi="Corbel"/>
                <w:sz w:val="24"/>
                <w:szCs w:val="24"/>
              </w:rPr>
              <w:t>G</w:t>
            </w:r>
            <w:r w:rsidR="0085747A" w:rsidRPr="6EED87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EED87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EED87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6EED876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EED876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EED8762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EED8762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58F3A894" w:rsidRPr="6EED8762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EED8762">
              <w:rPr>
                <w:rFonts w:ascii="Corbel" w:hAnsi="Corbel"/>
                <w:sz w:val="24"/>
                <w:szCs w:val="24"/>
              </w:rPr>
              <w:t xml:space="preserve"> </w:t>
            </w:r>
            <w:r w:rsidRPr="6EED8762">
              <w:rPr>
                <w:rFonts w:ascii="Corbel" w:hAnsi="Corbel"/>
                <w:sz w:val="24"/>
                <w:szCs w:val="24"/>
              </w:rPr>
              <w:t>studiów</w:t>
            </w:r>
            <w:r w:rsidR="58F3A894" w:rsidRPr="6EED87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DA3216" w14:textId="77777777" w:rsidR="0085747A" w:rsidRPr="009C54AE" w:rsidRDefault="002E39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EED8762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274A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EED8762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274A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EED8762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74A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EED8762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2E39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E4B5B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204F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6EED8762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BF0D7D" w14:textId="6460F78B" w:rsidR="0085747A" w:rsidRPr="009C54AE" w:rsidRDefault="360CE754" w:rsidP="6EED87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EED876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6EED8762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2F1B3" w14:textId="21308202" w:rsidR="0085747A" w:rsidRPr="009C54AE" w:rsidRDefault="16A41174" w:rsidP="6EED87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ED876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2F2C34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0A4E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1FE" w:rsidRPr="00554D1E" w14:paraId="151C118D" w14:textId="77777777" w:rsidTr="6FECF589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695" w14:textId="142C49D3" w:rsidR="005561FE" w:rsidRDefault="005561FE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561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18DF86" w14:textId="0F43D02E" w:rsidR="00767936" w:rsidRDefault="00767936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796268B" w14:textId="1937FFF5" w:rsidR="00767936" w:rsidRPr="005561FE" w:rsidRDefault="00767936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(wybrane rozdziały)</w:t>
            </w:r>
          </w:p>
          <w:p w14:paraId="62AA0A37" w14:textId="65899828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767936">
              <w:rPr>
                <w:rFonts w:ascii="Corbel" w:hAnsi="Corbel"/>
                <w:b w:val="0"/>
                <w:smallCaps w:val="0"/>
                <w:szCs w:val="24"/>
              </w:rPr>
              <w:t>ły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J. Barcz, M. Górka, Instytucje i prawo Unii Europejskiej. Podręcznik dla kierunków prawa, zarządzania i administracji, Warszawa 2020,</w:t>
            </w:r>
          </w:p>
          <w:p w14:paraId="2704C42C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M. Kenig-Witkowska, A. Łazowski, R.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Ostrihansky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Prawo instytucjonalne Unii Europejskiej, Warszawa 2019,</w:t>
            </w:r>
          </w:p>
          <w:p w14:paraId="7A13F8F6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Ahlt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Szpunar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Prawo Europejskie, Warszawa 2011,</w:t>
            </w:r>
          </w:p>
          <w:p w14:paraId="0F9706F1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Kuś, Prawo Unii Europejskiej z uwzględnieniem Traktatu z Lizbony, Lublin 2010,</w:t>
            </w:r>
          </w:p>
          <w:p w14:paraId="4B5879E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J. Barcz i inni, Prawo Unii Europejskiej. Zagadnienia systemowe. Prawo materialne i polityki, Warszawa 2007,</w:t>
            </w:r>
          </w:p>
          <w:p w14:paraId="6E89F3E2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Cini, Unia Europejska. Organizacja i funkcjonowanie, Warszawa 2007,</w:t>
            </w:r>
          </w:p>
          <w:p w14:paraId="13221A85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R. Skubisz, E. Skrzydło – Tefelska, Prawo Europejskie, Lublin 2006,</w:t>
            </w:r>
          </w:p>
          <w:p w14:paraId="1BA5CC0D" w14:textId="77777777" w:rsid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Wróbel, Wprowadzenie do prawa Wspólnot Europejskich, Unii Europejskiej, Zakamycze 2004,</w:t>
            </w:r>
          </w:p>
          <w:p w14:paraId="19219836" w14:textId="77777777" w:rsidR="00EA2DA1" w:rsidRPr="005561FE" w:rsidRDefault="00EA2DA1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25DE6B" w14:textId="77777777" w:rsidR="005561FE" w:rsidRPr="005561FE" w:rsidRDefault="005561FE" w:rsidP="00556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E. Wojtaszek – Mik, C. Mik, Traktaty Europejskie, Kraków 2000.</w:t>
            </w:r>
          </w:p>
          <w:p w14:paraId="296FEF7D" w14:textId="77777777" w:rsidR="005561FE" w:rsidRPr="005561FE" w:rsidRDefault="005561F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61FE" w:rsidRPr="00554D1E" w14:paraId="53774E2C" w14:textId="77777777" w:rsidTr="6FECF589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B1D9" w14:textId="77777777" w:rsidR="005561FE" w:rsidRPr="005561FE" w:rsidRDefault="005561FE" w:rsidP="6EED8762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6EED8762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787C56D9" w14:textId="77777777" w:rsidR="00767936" w:rsidRDefault="00767936" w:rsidP="0076793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BC8D596" w14:textId="42B6C3A5" w:rsidR="00767936" w:rsidRPr="005561FE" w:rsidRDefault="00767936" w:rsidP="0076793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(wybrane rozdziały)</w:t>
            </w:r>
          </w:p>
          <w:p w14:paraId="74A697F9" w14:textId="568757D3" w:rsidR="005561FE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P. K. Rosiak,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M.Szpunar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, Postępowanie przed Trybunałem </w:t>
            </w:r>
            <w:r w:rsidR="00EA2DA1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5561FE">
              <w:rPr>
                <w:rFonts w:ascii="Corbel" w:hAnsi="Corbel"/>
                <w:b w:val="0"/>
                <w:smallCaps w:val="0"/>
                <w:szCs w:val="24"/>
              </w:rPr>
              <w:t>prawiedliwości i Sądem Pierwszej Instancji Wspólnot Europejskich. Aspekty Praktyczne, Warszawa 2007,</w:t>
            </w:r>
          </w:p>
          <w:p w14:paraId="008C9581" w14:textId="77777777" w:rsidR="005561FE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Kornobis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-Romanowska, Sąd krajowy w prawie wspólnotowym, Kraków 2007,</w:t>
            </w:r>
          </w:p>
          <w:p w14:paraId="3D93377F" w14:textId="77777777" w:rsid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EED8762">
              <w:rPr>
                <w:rFonts w:ascii="Corbel" w:hAnsi="Corbel"/>
                <w:b w:val="0"/>
                <w:smallCaps w:val="0"/>
              </w:rPr>
              <w:t>M. Domańska i inni, Pytania prejudycjalne do Trybunału Sprawiedliwości Wspólnot Europejskich, Warszawa 2007,</w:t>
            </w:r>
          </w:p>
          <w:p w14:paraId="60C3753A" w14:textId="4B7CBB85" w:rsidR="6EED8762" w:rsidRDefault="6EED8762" w:rsidP="6EED87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281B9B1" w14:textId="16E55D7E" w:rsidR="005561FE" w:rsidRPr="005561FE" w:rsidRDefault="005561FE" w:rsidP="6FECF5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FECF589">
              <w:rPr>
                <w:rFonts w:ascii="Corbel" w:hAnsi="Corbel"/>
                <w:b w:val="0"/>
                <w:smallCaps w:val="0"/>
              </w:rPr>
              <w:t>W. Czapliński i inni, Prawo Wspólnot Europejskich. Orzecznictwo. Wydanie nowe z</w:t>
            </w:r>
            <w:r w:rsidR="25F600BE" w:rsidRPr="6FECF58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FECF589">
              <w:rPr>
                <w:rFonts w:ascii="Corbel" w:hAnsi="Corbel"/>
                <w:b w:val="0"/>
                <w:smallCaps w:val="0"/>
              </w:rPr>
              <w:t>Suplementem, Warszawa 2006.</w:t>
            </w:r>
          </w:p>
          <w:p w14:paraId="769D0D3C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31BE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C6E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5268A" w14:textId="77777777" w:rsidR="00010503" w:rsidRDefault="00010503" w:rsidP="00C16ABF">
      <w:pPr>
        <w:spacing w:after="0" w:line="240" w:lineRule="auto"/>
      </w:pPr>
      <w:r>
        <w:separator/>
      </w:r>
    </w:p>
  </w:endnote>
  <w:endnote w:type="continuationSeparator" w:id="0">
    <w:p w14:paraId="30E7F15F" w14:textId="77777777" w:rsidR="00010503" w:rsidRDefault="000105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85CC7" w14:textId="77777777" w:rsidR="00010503" w:rsidRDefault="00010503" w:rsidP="00C16ABF">
      <w:pPr>
        <w:spacing w:after="0" w:line="240" w:lineRule="auto"/>
      </w:pPr>
      <w:r>
        <w:separator/>
      </w:r>
    </w:p>
  </w:footnote>
  <w:footnote w:type="continuationSeparator" w:id="0">
    <w:p w14:paraId="6FC2CDA5" w14:textId="77777777" w:rsidR="00010503" w:rsidRDefault="0001050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4BCF"/>
    <w:multiLevelType w:val="hybridMultilevel"/>
    <w:tmpl w:val="15F8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21267"/>
    <w:multiLevelType w:val="hybridMultilevel"/>
    <w:tmpl w:val="6B44B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7C6D"/>
    <w:multiLevelType w:val="hybridMultilevel"/>
    <w:tmpl w:val="F080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503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30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BE8"/>
    <w:rsid w:val="0022477D"/>
    <w:rsid w:val="002278A9"/>
    <w:rsid w:val="002336F9"/>
    <w:rsid w:val="0024028F"/>
    <w:rsid w:val="00244ABC"/>
    <w:rsid w:val="002548DB"/>
    <w:rsid w:val="00274A2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E8A"/>
    <w:rsid w:val="002D3375"/>
    <w:rsid w:val="002D73D4"/>
    <w:rsid w:val="002E39C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862"/>
    <w:rsid w:val="003D18A9"/>
    <w:rsid w:val="003D6CE2"/>
    <w:rsid w:val="003E1941"/>
    <w:rsid w:val="003E1C60"/>
    <w:rsid w:val="003E2FE6"/>
    <w:rsid w:val="003E49D5"/>
    <w:rsid w:val="003F38C0"/>
    <w:rsid w:val="00410AEA"/>
    <w:rsid w:val="00414E3C"/>
    <w:rsid w:val="0042244A"/>
    <w:rsid w:val="0042745A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77F8A"/>
    <w:rsid w:val="004840FD"/>
    <w:rsid w:val="0048467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F07"/>
    <w:rsid w:val="005561FE"/>
    <w:rsid w:val="0056696D"/>
    <w:rsid w:val="00572005"/>
    <w:rsid w:val="00582427"/>
    <w:rsid w:val="0059484D"/>
    <w:rsid w:val="005A0855"/>
    <w:rsid w:val="005A3196"/>
    <w:rsid w:val="005C080F"/>
    <w:rsid w:val="005C55E5"/>
    <w:rsid w:val="005C696A"/>
    <w:rsid w:val="005E6E85"/>
    <w:rsid w:val="005F31D2"/>
    <w:rsid w:val="00607ADC"/>
    <w:rsid w:val="0061029B"/>
    <w:rsid w:val="00617230"/>
    <w:rsid w:val="00621CE1"/>
    <w:rsid w:val="00627FC9"/>
    <w:rsid w:val="00636DC4"/>
    <w:rsid w:val="00647FA8"/>
    <w:rsid w:val="00650C5F"/>
    <w:rsid w:val="00654934"/>
    <w:rsid w:val="006620D9"/>
    <w:rsid w:val="00671958"/>
    <w:rsid w:val="00675843"/>
    <w:rsid w:val="00696477"/>
    <w:rsid w:val="006D050F"/>
    <w:rsid w:val="006D402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CB5"/>
    <w:rsid w:val="00746EC8"/>
    <w:rsid w:val="00763BF1"/>
    <w:rsid w:val="00766FD4"/>
    <w:rsid w:val="00767936"/>
    <w:rsid w:val="0078168C"/>
    <w:rsid w:val="00787C2A"/>
    <w:rsid w:val="00790E27"/>
    <w:rsid w:val="007917E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70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CB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13"/>
    <w:rsid w:val="00A43BF6"/>
    <w:rsid w:val="00A53FA5"/>
    <w:rsid w:val="00A54817"/>
    <w:rsid w:val="00A601C8"/>
    <w:rsid w:val="00A60799"/>
    <w:rsid w:val="00A84C85"/>
    <w:rsid w:val="00A97DE1"/>
    <w:rsid w:val="00AB053C"/>
    <w:rsid w:val="00AC1AD2"/>
    <w:rsid w:val="00AD1146"/>
    <w:rsid w:val="00AD27D3"/>
    <w:rsid w:val="00AD66D6"/>
    <w:rsid w:val="00AE1160"/>
    <w:rsid w:val="00AE203C"/>
    <w:rsid w:val="00AE2E74"/>
    <w:rsid w:val="00AE5FCB"/>
    <w:rsid w:val="00AF2C1E"/>
    <w:rsid w:val="00AF6D7F"/>
    <w:rsid w:val="00B06142"/>
    <w:rsid w:val="00B135B1"/>
    <w:rsid w:val="00B2602D"/>
    <w:rsid w:val="00B3130B"/>
    <w:rsid w:val="00B35F4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54F"/>
    <w:rsid w:val="00D8075B"/>
    <w:rsid w:val="00D8678B"/>
    <w:rsid w:val="00D93522"/>
    <w:rsid w:val="00DA20C4"/>
    <w:rsid w:val="00DA2114"/>
    <w:rsid w:val="00DC5C55"/>
    <w:rsid w:val="00DE09C0"/>
    <w:rsid w:val="00DE4A14"/>
    <w:rsid w:val="00DF320D"/>
    <w:rsid w:val="00DF71C8"/>
    <w:rsid w:val="00E129B8"/>
    <w:rsid w:val="00E1378B"/>
    <w:rsid w:val="00E21E7D"/>
    <w:rsid w:val="00E22FBC"/>
    <w:rsid w:val="00E24BF5"/>
    <w:rsid w:val="00E25338"/>
    <w:rsid w:val="00E35C65"/>
    <w:rsid w:val="00E51E44"/>
    <w:rsid w:val="00E63348"/>
    <w:rsid w:val="00E77E88"/>
    <w:rsid w:val="00E8107D"/>
    <w:rsid w:val="00E960BB"/>
    <w:rsid w:val="00EA2074"/>
    <w:rsid w:val="00EA2DA1"/>
    <w:rsid w:val="00EA4832"/>
    <w:rsid w:val="00EA4E9D"/>
    <w:rsid w:val="00EC4899"/>
    <w:rsid w:val="00ED03AB"/>
    <w:rsid w:val="00ED32D2"/>
    <w:rsid w:val="00EE32DE"/>
    <w:rsid w:val="00EE4033"/>
    <w:rsid w:val="00EE5457"/>
    <w:rsid w:val="00EE558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5843"/>
    <w:rsid w:val="00FD503F"/>
    <w:rsid w:val="00FD7589"/>
    <w:rsid w:val="00FF016A"/>
    <w:rsid w:val="00FF1401"/>
    <w:rsid w:val="00FF5E7D"/>
    <w:rsid w:val="05EA30A2"/>
    <w:rsid w:val="0A3522FD"/>
    <w:rsid w:val="0BD0F35E"/>
    <w:rsid w:val="0C693B1F"/>
    <w:rsid w:val="16A41174"/>
    <w:rsid w:val="19D8CA5B"/>
    <w:rsid w:val="1F0D7D13"/>
    <w:rsid w:val="240A8F7B"/>
    <w:rsid w:val="25F600BE"/>
    <w:rsid w:val="2697BE09"/>
    <w:rsid w:val="2EAA2789"/>
    <w:rsid w:val="31CDE17F"/>
    <w:rsid w:val="360CE754"/>
    <w:rsid w:val="37DC88B2"/>
    <w:rsid w:val="39A51DB9"/>
    <w:rsid w:val="3AFC50CA"/>
    <w:rsid w:val="3CDCBE7B"/>
    <w:rsid w:val="3CF747A1"/>
    <w:rsid w:val="3F3C558F"/>
    <w:rsid w:val="41AF97DA"/>
    <w:rsid w:val="44191CCB"/>
    <w:rsid w:val="4DD1064D"/>
    <w:rsid w:val="4EEC1C16"/>
    <w:rsid w:val="543CBE5F"/>
    <w:rsid w:val="5476315E"/>
    <w:rsid w:val="57745F21"/>
    <w:rsid w:val="58F3A894"/>
    <w:rsid w:val="5BA9DE31"/>
    <w:rsid w:val="6E01B1F5"/>
    <w:rsid w:val="6EED8762"/>
    <w:rsid w:val="6F9D8256"/>
    <w:rsid w:val="6FECF589"/>
    <w:rsid w:val="71600C5B"/>
    <w:rsid w:val="7470F379"/>
    <w:rsid w:val="7822E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0AF9"/>
  <w15:docId w15:val="{83C14434-23CC-485A-8BFD-98E1E377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FDA9B-1BC9-43DC-B5D0-38CDC33C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9</cp:revision>
  <cp:lastPrinted>2019-02-06T22:12:00Z</cp:lastPrinted>
  <dcterms:created xsi:type="dcterms:W3CDTF">2021-12-16T09:16:00Z</dcterms:created>
  <dcterms:modified xsi:type="dcterms:W3CDTF">2024-08-22T08:24:00Z</dcterms:modified>
</cp:coreProperties>
</file>