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FE894" w14:textId="77777777" w:rsidR="00135FF5" w:rsidRDefault="00997F14" w:rsidP="00135FF5">
      <w:pPr>
        <w:spacing w:line="240" w:lineRule="auto"/>
        <w:jc w:val="right"/>
        <w:rPr>
          <w:rFonts w:ascii="Corbel" w:hAnsi="Corbel"/>
          <w:bCs/>
          <w:i/>
        </w:rPr>
      </w:pPr>
      <w:r w:rsidRPr="39C81FC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135FF5">
        <w:rPr>
          <w:rFonts w:ascii="Corbel" w:hAnsi="Corbel"/>
          <w:bCs/>
          <w:i/>
        </w:rPr>
        <w:t>Załącznik nr 1.5 do Zarządzenia Rektora UR nr 7/2023</w:t>
      </w:r>
    </w:p>
    <w:p w14:paraId="547A172F" w14:textId="77777777" w:rsidR="00135FF5" w:rsidRDefault="00135FF5" w:rsidP="00135F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AD8405D" w14:textId="77777777" w:rsidR="00135FF5" w:rsidRDefault="00135FF5" w:rsidP="00135F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052A1BE9" w14:textId="77777777" w:rsidR="00135FF5" w:rsidRDefault="00135FF5" w:rsidP="00135FF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560E8EC" w14:textId="77777777" w:rsidR="00135FF5" w:rsidRDefault="00135FF5" w:rsidP="00135FF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9674717" w14:textId="6D0D6176" w:rsidR="00135FF5" w:rsidRDefault="00135FF5" w:rsidP="00135FF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3730FAAC" w14:textId="77777777" w:rsidR="00135FF5" w:rsidRDefault="00135FF5" w:rsidP="00135FF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0C6E7FD4" w14:textId="77777777" w:rsidR="0085747A" w:rsidRPr="00AF7C3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7C32">
        <w:rPr>
          <w:rFonts w:ascii="Corbel" w:hAnsi="Corbel"/>
          <w:szCs w:val="24"/>
        </w:rPr>
        <w:t xml:space="preserve">1. </w:t>
      </w:r>
      <w:r w:rsidR="0085747A" w:rsidRPr="00AF7C32">
        <w:rPr>
          <w:rFonts w:ascii="Corbel" w:hAnsi="Corbel"/>
          <w:szCs w:val="24"/>
        </w:rPr>
        <w:t xml:space="preserve">Podstawowe </w:t>
      </w:r>
      <w:r w:rsidR="00445970" w:rsidRPr="00AF7C3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7C32" w14:paraId="291134AD" w14:textId="77777777" w:rsidTr="39C81FC1">
        <w:tc>
          <w:tcPr>
            <w:tcW w:w="2694" w:type="dxa"/>
            <w:vAlign w:val="center"/>
          </w:tcPr>
          <w:p w14:paraId="59701564" w14:textId="77777777" w:rsidR="0085747A" w:rsidRPr="00AF7C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2A5173" w14:textId="77777777" w:rsidR="0085747A" w:rsidRPr="00AF7C32" w:rsidRDefault="00E1378B" w:rsidP="39C81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39C81FC1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Integracja europejska</w:t>
            </w:r>
          </w:p>
        </w:tc>
      </w:tr>
      <w:tr w:rsidR="0085747A" w:rsidRPr="00AF7C32" w14:paraId="68EFB87B" w14:textId="77777777" w:rsidTr="39C81FC1">
        <w:tc>
          <w:tcPr>
            <w:tcW w:w="2694" w:type="dxa"/>
            <w:vAlign w:val="center"/>
          </w:tcPr>
          <w:p w14:paraId="4CA29152" w14:textId="77777777" w:rsidR="0085747A" w:rsidRPr="00AF7C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F7C3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566D6B" w14:textId="77777777" w:rsidR="0085747A" w:rsidRPr="00AF7C32" w:rsidRDefault="009B2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C32">
              <w:rPr>
                <w:rFonts w:ascii="Corbel" w:hAnsi="Corbel"/>
                <w:b w:val="0"/>
                <w:sz w:val="24"/>
                <w:szCs w:val="24"/>
              </w:rPr>
              <w:t>MK_16</w:t>
            </w:r>
          </w:p>
        </w:tc>
      </w:tr>
      <w:tr w:rsidR="0085747A" w:rsidRPr="00AF7C32" w14:paraId="5C0172EC" w14:textId="77777777" w:rsidTr="39C81FC1">
        <w:tc>
          <w:tcPr>
            <w:tcW w:w="2694" w:type="dxa"/>
            <w:vAlign w:val="center"/>
          </w:tcPr>
          <w:p w14:paraId="249A5C16" w14:textId="77777777" w:rsidR="0085747A" w:rsidRPr="00AF7C3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F7C3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F7C32" w14:paraId="52EF737E" w14:textId="77777777" w:rsidTr="39C81FC1">
        <w:tc>
          <w:tcPr>
            <w:tcW w:w="2694" w:type="dxa"/>
            <w:vAlign w:val="center"/>
          </w:tcPr>
          <w:p w14:paraId="0A39E105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4F726959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39C81FC1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Instytut Nauk Prawnych</w:t>
            </w:r>
          </w:p>
        </w:tc>
      </w:tr>
      <w:tr w:rsidR="0085747A" w:rsidRPr="00AF7C32" w14:paraId="58415E7B" w14:textId="77777777" w:rsidTr="39C81FC1">
        <w:tc>
          <w:tcPr>
            <w:tcW w:w="2694" w:type="dxa"/>
            <w:vAlign w:val="center"/>
          </w:tcPr>
          <w:p w14:paraId="4B835047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AF7C32" w14:paraId="11529C0C" w14:textId="77777777" w:rsidTr="39C81FC1">
        <w:tc>
          <w:tcPr>
            <w:tcW w:w="2694" w:type="dxa"/>
            <w:vAlign w:val="center"/>
          </w:tcPr>
          <w:p w14:paraId="448A1CED" w14:textId="77777777" w:rsidR="0085747A" w:rsidRPr="00AF7C3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AF7C32" w14:paraId="77AD840C" w14:textId="77777777" w:rsidTr="39C81FC1">
        <w:tc>
          <w:tcPr>
            <w:tcW w:w="2694" w:type="dxa"/>
            <w:vAlign w:val="center"/>
          </w:tcPr>
          <w:p w14:paraId="04C0481C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23D6F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Praktyczny</w:t>
            </w:r>
          </w:p>
        </w:tc>
      </w:tr>
      <w:tr w:rsidR="0085747A" w:rsidRPr="00AF7C32" w14:paraId="5C70B2EB" w14:textId="77777777" w:rsidTr="39C81FC1">
        <w:tc>
          <w:tcPr>
            <w:tcW w:w="2694" w:type="dxa"/>
            <w:vAlign w:val="center"/>
          </w:tcPr>
          <w:p w14:paraId="7C3992E0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AF7C32" w14:paraId="02C7AD66" w14:textId="77777777" w:rsidTr="39C81FC1">
        <w:tc>
          <w:tcPr>
            <w:tcW w:w="2694" w:type="dxa"/>
            <w:vAlign w:val="center"/>
          </w:tcPr>
          <w:p w14:paraId="47AAF248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F7C32">
              <w:rPr>
                <w:rFonts w:ascii="Corbel" w:hAnsi="Corbel"/>
                <w:sz w:val="24"/>
                <w:szCs w:val="24"/>
              </w:rPr>
              <w:t>/y</w:t>
            </w:r>
            <w:r w:rsidRPr="00AF7C3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2B4B7761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3E5F76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</w:t>
            </w: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III</w:t>
            </w:r>
          </w:p>
        </w:tc>
      </w:tr>
      <w:tr w:rsidR="0085747A" w:rsidRPr="00AF7C32" w14:paraId="69EA273B" w14:textId="77777777" w:rsidTr="39C81FC1">
        <w:tc>
          <w:tcPr>
            <w:tcW w:w="2694" w:type="dxa"/>
            <w:vAlign w:val="center"/>
          </w:tcPr>
          <w:p w14:paraId="5863A118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AF7C32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AF7C32">
              <w:rPr>
                <w:rFonts w:ascii="Corbel" w:hAnsi="Corbel" w:cs="Courier New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AF7C32" w14:paraId="26EB6C12" w14:textId="77777777" w:rsidTr="39C81FC1">
        <w:tc>
          <w:tcPr>
            <w:tcW w:w="2694" w:type="dxa"/>
            <w:vAlign w:val="center"/>
          </w:tcPr>
          <w:p w14:paraId="13A990D4" w14:textId="77777777" w:rsidR="00923D7D" w:rsidRPr="00AF7C3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AF7C32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AF7C32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AF7C32" w14:paraId="3E543895" w14:textId="77777777" w:rsidTr="39C81FC1">
        <w:tc>
          <w:tcPr>
            <w:tcW w:w="2694" w:type="dxa"/>
            <w:vAlign w:val="center"/>
          </w:tcPr>
          <w:p w14:paraId="69C2AF6E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149D3B4B" w:rsidR="0085747A" w:rsidRPr="00AF7C32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Dr hab. </w:t>
            </w:r>
            <w:r w:rsidR="00280E5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Patryk Pleskot</w:t>
            </w: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, prof. UR</w:t>
            </w:r>
          </w:p>
        </w:tc>
      </w:tr>
      <w:tr w:rsidR="0085747A" w:rsidRPr="00AF7C32" w14:paraId="13F6FA47" w14:textId="77777777" w:rsidTr="39C81FC1">
        <w:tc>
          <w:tcPr>
            <w:tcW w:w="2694" w:type="dxa"/>
            <w:vAlign w:val="center"/>
          </w:tcPr>
          <w:p w14:paraId="471FE442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DDD793" w14:textId="7E4A9AE2" w:rsidR="0085747A" w:rsidRPr="00AF7C32" w:rsidRDefault="00280E59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hab. Patryk Kubas,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00"/>
        <w:gridCol w:w="665"/>
        <w:gridCol w:w="960"/>
        <w:gridCol w:w="765"/>
        <w:gridCol w:w="870"/>
        <w:gridCol w:w="641"/>
        <w:gridCol w:w="948"/>
        <w:gridCol w:w="1189"/>
        <w:gridCol w:w="1505"/>
      </w:tblGrid>
      <w:tr w:rsidR="00015B8F" w:rsidRPr="009C54AE" w14:paraId="4A00F406" w14:textId="77777777" w:rsidTr="39C81FC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5B37FA" w14:textId="77777777" w:rsidTr="39C81FC1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75AC" w14:textId="77777777" w:rsidR="00015B8F" w:rsidRPr="009C54AE" w:rsidRDefault="00447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137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9B2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478A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E137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9C81FC1">
        <w:rPr>
          <w:rFonts w:ascii="Corbel" w:hAnsi="Corbel"/>
          <w:smallCaps w:val="0"/>
        </w:rPr>
        <w:t>1.</w:t>
      </w:r>
      <w:r w:rsidR="00E22FBC" w:rsidRPr="39C81FC1">
        <w:rPr>
          <w:rFonts w:ascii="Corbel" w:hAnsi="Corbel"/>
          <w:smallCaps w:val="0"/>
        </w:rPr>
        <w:t>2</w:t>
      </w:r>
      <w:r w:rsidR="00F83B28" w:rsidRPr="39C81FC1">
        <w:rPr>
          <w:rFonts w:ascii="Corbel" w:hAnsi="Corbel"/>
          <w:smallCaps w:val="0"/>
        </w:rPr>
        <w:t>.</w:t>
      </w:r>
      <w:r>
        <w:tab/>
      </w:r>
      <w:r w:rsidRPr="39C81FC1">
        <w:rPr>
          <w:rFonts w:ascii="Corbel" w:hAnsi="Corbel"/>
          <w:smallCaps w:val="0"/>
        </w:rPr>
        <w:t xml:space="preserve">Sposób realizacji zajęć  </w:t>
      </w:r>
    </w:p>
    <w:p w14:paraId="3AA9F8FE" w14:textId="44B89154" w:rsidR="39C81FC1" w:rsidRDefault="39C81FC1" w:rsidP="39C81F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  <w:szCs w:val="24"/>
        </w:rPr>
      </w:pPr>
    </w:p>
    <w:p w14:paraId="02500F38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3B9B">
        <w:rPr>
          <w:rFonts w:ascii="MS Gothic" w:eastAsia="MS Gothic" w:hAnsi="MS Gothic" w:cs="MS Gothic" w:hint="eastAsia"/>
          <w:b w:val="0"/>
          <w:color w:val="00000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4EE1DA7" w:rsidR="00E22FBC" w:rsidRPr="009C54AE" w:rsidRDefault="00E22FBC" w:rsidP="6C3D97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C3D97C0">
        <w:rPr>
          <w:rFonts w:ascii="Corbel" w:hAnsi="Corbel"/>
          <w:smallCaps w:val="0"/>
        </w:rPr>
        <w:t xml:space="preserve">1.3 </w:t>
      </w:r>
      <w:r>
        <w:tab/>
      </w:r>
      <w:r w:rsidRPr="6C3D97C0">
        <w:rPr>
          <w:rFonts w:ascii="Corbel" w:hAnsi="Corbel"/>
          <w:smallCaps w:val="0"/>
        </w:rPr>
        <w:t>For</w:t>
      </w:r>
      <w:r w:rsidR="00445970" w:rsidRPr="6C3D97C0">
        <w:rPr>
          <w:rFonts w:ascii="Corbel" w:hAnsi="Corbel"/>
          <w:smallCaps w:val="0"/>
        </w:rPr>
        <w:t>ma zaliczenia przedmiotu</w:t>
      </w:r>
      <w:r w:rsidRPr="6C3D97C0">
        <w:rPr>
          <w:rFonts w:ascii="Corbel" w:hAnsi="Corbel"/>
          <w:smallCaps w:val="0"/>
        </w:rPr>
        <w:t xml:space="preserve"> (z toku) </w:t>
      </w:r>
      <w:r w:rsidRPr="6C3D97C0">
        <w:rPr>
          <w:rFonts w:ascii="Corbel" w:hAnsi="Corbel"/>
          <w:b w:val="0"/>
          <w:smallCaps w:val="0"/>
        </w:rPr>
        <w:t>(egzamin, zaliczenie z oceną, zaliczenie bez oceny)</w:t>
      </w:r>
    </w:p>
    <w:p w14:paraId="7E6B9003" w14:textId="77777777" w:rsidR="00E1378B" w:rsidRPr="006D21AD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wykład – egzamin - test</w:t>
      </w:r>
    </w:p>
    <w:p w14:paraId="23602369" w14:textId="77777777" w:rsidR="00E1378B" w:rsidRPr="006D21AD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ćwiczenia- zaliczenie z oceną - test</w:t>
      </w:r>
    </w:p>
    <w:p w14:paraId="3CF2D8B6" w14:textId="77777777" w:rsidR="00E1378B" w:rsidRDefault="00E1378B" w:rsidP="00E1378B">
      <w:pPr>
        <w:spacing w:after="0" w:line="240" w:lineRule="auto"/>
        <w:ind w:left="720"/>
        <w:contextualSpacing/>
        <w:jc w:val="both"/>
        <w:rPr>
          <w:rFonts w:ascii="Times New Roman" w:eastAsia="Cambria" w:hAnsi="Times New Roman"/>
        </w:rPr>
      </w:pPr>
    </w:p>
    <w:p w14:paraId="261BAAD1" w14:textId="25F8346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FF2311" w14:textId="77777777" w:rsidR="009C6D3A" w:rsidRPr="009C54AE" w:rsidRDefault="009C6D3A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21AD" w14:paraId="65F884EF" w14:textId="77777777" w:rsidTr="00745302">
        <w:tc>
          <w:tcPr>
            <w:tcW w:w="9670" w:type="dxa"/>
          </w:tcPr>
          <w:p w14:paraId="483D41B7" w14:textId="77777777" w:rsidR="0085747A" w:rsidRPr="006D21AD" w:rsidRDefault="0048467C" w:rsidP="0048467C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6D21AD">
              <w:rPr>
                <w:rFonts w:ascii="Corbel" w:hAnsi="Corbel"/>
                <w:b w:val="0"/>
                <w:color w:val="000000"/>
                <w:szCs w:val="24"/>
              </w:rPr>
              <w:t>Podstawowa wiedza z zakresu wstępu do prawoznawstwa</w:t>
            </w:r>
          </w:p>
        </w:tc>
      </w:tr>
    </w:tbl>
    <w:p w14:paraId="0562C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C2C31CA" w:rsidR="0085747A" w:rsidRPr="00C05F44" w:rsidRDefault="0071620A" w:rsidP="6C3D97C0">
      <w:pPr>
        <w:pStyle w:val="Punktygwne"/>
        <w:spacing w:before="0" w:after="0"/>
        <w:rPr>
          <w:rFonts w:ascii="Corbel" w:hAnsi="Corbel"/>
        </w:rPr>
      </w:pPr>
      <w:r w:rsidRPr="6C3D97C0">
        <w:rPr>
          <w:rFonts w:ascii="Corbel" w:hAnsi="Corbel"/>
        </w:rPr>
        <w:lastRenderedPageBreak/>
        <w:t>3.</w:t>
      </w:r>
      <w:r w:rsidR="0085747A" w:rsidRPr="6C3D97C0">
        <w:rPr>
          <w:rFonts w:ascii="Corbel" w:hAnsi="Corbel"/>
        </w:rPr>
        <w:t xml:space="preserve"> </w:t>
      </w:r>
      <w:r w:rsidR="00A84C85" w:rsidRPr="6C3D97C0">
        <w:rPr>
          <w:rFonts w:ascii="Corbel" w:hAnsi="Corbel"/>
        </w:rPr>
        <w:t>cele, efekty uczenia się</w:t>
      </w:r>
      <w:r w:rsidR="0085747A" w:rsidRPr="6C3D97C0">
        <w:rPr>
          <w:rFonts w:ascii="Corbel" w:hAnsi="Corbel"/>
        </w:rPr>
        <w:t>, treści Programowe i stosowane metody Dydaktyczne</w:t>
      </w:r>
    </w:p>
    <w:p w14:paraId="34CE0A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EBF3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968"/>
      </w:tblGrid>
      <w:tr w:rsidR="0048467C" w:rsidRPr="00554D1E" w14:paraId="2D0ED475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EBEB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kształtowania się Unii Europejskiej </w:t>
            </w:r>
          </w:p>
        </w:tc>
      </w:tr>
      <w:tr w:rsidR="0048467C" w:rsidRPr="00554D1E" w14:paraId="69637EB6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48467C" w:rsidRPr="0048467C" w:rsidRDefault="0048467C" w:rsidP="0048467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84B3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Zapoznanie studentów z zasadami stosowania prawa unijnego</w:t>
            </w:r>
          </w:p>
        </w:tc>
      </w:tr>
      <w:tr w:rsidR="0048467C" w:rsidRPr="00554D1E" w14:paraId="7D7C6FC6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BACF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Omówienie zasad funkcjonowania instytucji Unii Europejskiej</w:t>
            </w:r>
          </w:p>
        </w:tc>
      </w:tr>
      <w:tr w:rsidR="0048467C" w:rsidRPr="00554D1E" w14:paraId="43C78716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1C1D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Przybliżenie warunków korzystania z sądowego i pozasądowego systemu ochrony prawnej w Unii Europejskiej</w:t>
            </w:r>
          </w:p>
        </w:tc>
      </w:tr>
      <w:tr w:rsidR="0048467C" w:rsidRPr="00554D1E" w14:paraId="11EF87F4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FBCD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Wykształcenie umiejętności posługiwania się wiedzą z zakresu prawa unijnego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46DB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39C81FC1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467C" w:rsidRPr="00554D1E" w14:paraId="774AA329" w14:textId="77777777" w:rsidTr="39C81FC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57F5" w14:textId="1CD7573A" w:rsidR="0048467C" w:rsidRPr="0048467C" w:rsidRDefault="2D46A65F" w:rsidP="39C81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9C81FC1">
              <w:rPr>
                <w:rFonts w:ascii="Corbel" w:hAnsi="Corbel"/>
                <w:b w:val="0"/>
                <w:smallCaps w:val="0"/>
              </w:rPr>
              <w:t>Zna i rozumie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informacje dotyczące: procesu integracji europejskiej, charakteru prawnego UE, członkostwa, stowarzyszenia, obywatelstwa UE, systemu instytucjonalnego, źródeł prawa pierwotnego i wtórnego, zasad strukturalnych, sądowej kontroli przestrzegania prawa unijnego, postępowania przed sądami w</w:t>
            </w:r>
            <w:r w:rsidR="650471FE" w:rsidRPr="39C81FC1">
              <w:rPr>
                <w:rFonts w:ascii="Corbel" w:hAnsi="Corbel"/>
                <w:b w:val="0"/>
                <w:smallCaps w:val="0"/>
              </w:rPr>
              <w:t xml:space="preserve"> 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>Luksemburgu.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AF28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60BBC99A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  <w:p w14:paraId="651A8C70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K_W03, </w:t>
            </w:r>
          </w:p>
          <w:p w14:paraId="4F68123D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K_W04, </w:t>
            </w:r>
          </w:p>
          <w:p w14:paraId="6B3E0FA9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K_W05, </w:t>
            </w:r>
          </w:p>
          <w:p w14:paraId="1EF66760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</w:p>
        </w:tc>
      </w:tr>
      <w:tr w:rsidR="0048467C" w:rsidRPr="00554D1E" w14:paraId="4818E022" w14:textId="77777777" w:rsidTr="39C81FC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71C6" w14:textId="4B968376" w:rsidR="0048467C" w:rsidRPr="0048467C" w:rsidRDefault="2D46A65F" w:rsidP="39C81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9C81FC1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>wykorzystywa</w:t>
            </w:r>
            <w:r w:rsidRPr="39C81FC1">
              <w:rPr>
                <w:rFonts w:ascii="Corbel" w:hAnsi="Corbel"/>
                <w:b w:val="0"/>
                <w:smallCaps w:val="0"/>
              </w:rPr>
              <w:t>ć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zdobyt</w:t>
            </w:r>
            <w:r w:rsidRPr="39C81FC1">
              <w:rPr>
                <w:rFonts w:ascii="Corbel" w:hAnsi="Corbel"/>
                <w:b w:val="0"/>
                <w:smallCaps w:val="0"/>
              </w:rPr>
              <w:t>ą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wiedz</w:t>
            </w:r>
            <w:r w:rsidRPr="39C81FC1">
              <w:rPr>
                <w:rFonts w:ascii="Corbel" w:hAnsi="Corbel"/>
                <w:b w:val="0"/>
                <w:smallCaps w:val="0"/>
              </w:rPr>
              <w:t>ę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>, analizuje wpływ jednolitego stosowania prawa Unii Europejskiej na terytorium państw członkowskich różnice w</w:t>
            </w:r>
            <w:r w:rsidR="310EB5B3" w:rsidRPr="39C81FC1">
              <w:rPr>
                <w:rFonts w:ascii="Corbel" w:hAnsi="Corbel"/>
                <w:b w:val="0"/>
                <w:smallCaps w:val="0"/>
              </w:rPr>
              <w:t xml:space="preserve"> f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>unkcjonowaniu systemu skargowego w stosunku do osób fizycznych i prawnych, klasyfikuje, porównuje, weryfikuje uzyskane umiejętności dokonywania syntez i</w:t>
            </w:r>
            <w:r w:rsidR="33AD3CC3" w:rsidRPr="39C81FC1">
              <w:rPr>
                <w:rFonts w:ascii="Corbel" w:hAnsi="Corbel"/>
                <w:b w:val="0"/>
                <w:smallCaps w:val="0"/>
              </w:rPr>
              <w:t xml:space="preserve"> 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>ocen.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7F34" w14:textId="77777777" w:rsidR="0048467C" w:rsidRPr="0048467C" w:rsidRDefault="0048467C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B35F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843045C" w14:textId="77777777" w:rsidR="00A8253D" w:rsidRDefault="0048467C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51FD1B0A" w14:textId="77777777" w:rsidR="0048467C" w:rsidRPr="0048467C" w:rsidRDefault="00A8253D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E859AA7" w14:textId="77777777" w:rsidR="0048467C" w:rsidRPr="0048467C" w:rsidRDefault="0048467C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K_U07, </w:t>
            </w:r>
          </w:p>
          <w:p w14:paraId="5997CC1D" w14:textId="77777777" w:rsidR="0048467C" w:rsidRPr="0048467C" w:rsidRDefault="0048467C" w:rsidP="00B35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467C" w:rsidRPr="00554D1E" w14:paraId="272EB073" w14:textId="77777777" w:rsidTr="39C81FC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0B4" w14:textId="77777777" w:rsidR="0048467C" w:rsidRPr="0048467C" w:rsidRDefault="2D46A65F" w:rsidP="39C81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9C81FC1">
              <w:rPr>
                <w:rFonts w:ascii="Corbel" w:hAnsi="Corbel"/>
                <w:b w:val="0"/>
                <w:smallCaps w:val="0"/>
              </w:rPr>
              <w:t>Jest gotów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9C81FC1">
              <w:rPr>
                <w:rFonts w:ascii="Corbel" w:hAnsi="Corbel"/>
                <w:b w:val="0"/>
                <w:smallCaps w:val="0"/>
              </w:rPr>
              <w:t>wykorzystywać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zdobyt</w:t>
            </w:r>
            <w:r w:rsidRPr="39C81FC1">
              <w:rPr>
                <w:rFonts w:ascii="Corbel" w:hAnsi="Corbel"/>
                <w:b w:val="0"/>
                <w:smallCaps w:val="0"/>
              </w:rPr>
              <w:t>ą wiedzę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>, jest zorientowany na wybrane problemy porządku prawnego w Unii Europejskiej, podstawy prawne, charakterystykę wybranych instytucji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BA25" w14:textId="77777777" w:rsidR="0048467C" w:rsidRPr="0048467C" w:rsidRDefault="00B35F46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253D">
              <w:rPr>
                <w:rFonts w:ascii="Corbel" w:hAnsi="Corbel"/>
                <w:b w:val="0"/>
                <w:smallCaps w:val="0"/>
                <w:szCs w:val="24"/>
              </w:rPr>
              <w:t>_Ko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1,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096C8C7C" w14:textId="77777777" w:rsidR="0048467C" w:rsidRPr="0048467C" w:rsidRDefault="00A8253D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48467C" w:rsidRPr="00554D1E" w14:paraId="238B4C9C" w14:textId="77777777" w:rsidTr="39C81FC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74FC" w14:textId="77777777" w:rsidR="0048467C" w:rsidRPr="0048467C" w:rsidRDefault="2D46A65F" w:rsidP="39C81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9C81FC1">
              <w:rPr>
                <w:rFonts w:ascii="Corbel" w:hAnsi="Corbel"/>
                <w:b w:val="0"/>
                <w:smallCaps w:val="0"/>
              </w:rPr>
              <w:t>Jest gotów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zada</w:t>
            </w:r>
            <w:r w:rsidRPr="39C81FC1">
              <w:rPr>
                <w:rFonts w:ascii="Corbel" w:hAnsi="Corbel"/>
                <w:b w:val="0"/>
                <w:smallCaps w:val="0"/>
              </w:rPr>
              <w:t>wać</w:t>
            </w:r>
            <w:r w:rsidR="06437F28" w:rsidRPr="39C81FC1">
              <w:rPr>
                <w:rFonts w:ascii="Corbel" w:hAnsi="Corbel"/>
                <w:b w:val="0"/>
                <w:smallCaps w:val="0"/>
              </w:rPr>
              <w:t xml:space="preserve"> pytania, podejmuje dyskusje na temat efektywności stosowanych metod w UE.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86A9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K_K01,  </w:t>
            </w:r>
          </w:p>
          <w:p w14:paraId="7471653F" w14:textId="77777777" w:rsidR="0048467C" w:rsidRPr="0048467C" w:rsidRDefault="00B35F46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EC6BD84" w14:textId="77777777" w:rsidR="0048467C" w:rsidRPr="0048467C" w:rsidRDefault="00B35F46" w:rsidP="00B35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99379" w14:textId="77777777" w:rsidR="00B35F46" w:rsidRPr="009C54AE" w:rsidRDefault="00B35F46" w:rsidP="00B35F4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A35" w:rsidRPr="006D21AD" w14:paraId="587EA2A8" w14:textId="77777777" w:rsidTr="006D21AD">
        <w:trPr>
          <w:trHeight w:val="216"/>
        </w:trPr>
        <w:tc>
          <w:tcPr>
            <w:tcW w:w="9639" w:type="dxa"/>
          </w:tcPr>
          <w:p w14:paraId="35113026" w14:textId="77777777" w:rsidR="009B2A35" w:rsidRPr="006D21AD" w:rsidRDefault="009B2A35" w:rsidP="00B35F4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6D21AD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9B2A35" w:rsidRPr="006D21AD" w14:paraId="6E5AD73E" w14:textId="77777777" w:rsidTr="006D21AD">
        <w:trPr>
          <w:trHeight w:val="445"/>
        </w:trPr>
        <w:tc>
          <w:tcPr>
            <w:tcW w:w="9639" w:type="dxa"/>
          </w:tcPr>
          <w:p w14:paraId="41B686E5" w14:textId="77777777" w:rsidR="009B2A35" w:rsidRPr="006D21AD" w:rsidRDefault="009B2A35" w:rsidP="00B35F46">
            <w:pPr>
              <w:rPr>
                <w:rFonts w:ascii="Corbel" w:hAnsi="Corbel"/>
                <w:sz w:val="24"/>
              </w:rPr>
            </w:pPr>
            <w:r w:rsidRPr="006D21AD">
              <w:rPr>
                <w:rFonts w:ascii="Corbel" w:hAnsi="Corbel"/>
                <w:sz w:val="24"/>
              </w:rPr>
              <w:t>1. Zagadnienia wprowadzające</w:t>
            </w:r>
          </w:p>
        </w:tc>
      </w:tr>
      <w:tr w:rsidR="009B2A35" w:rsidRPr="006D21AD" w14:paraId="52D40030" w14:textId="77777777" w:rsidTr="006D21AD">
        <w:trPr>
          <w:trHeight w:val="432"/>
        </w:trPr>
        <w:tc>
          <w:tcPr>
            <w:tcW w:w="9639" w:type="dxa"/>
          </w:tcPr>
          <w:p w14:paraId="57360FA6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</w:rPr>
            </w:pPr>
            <w:r w:rsidRPr="006D21AD">
              <w:rPr>
                <w:rFonts w:ascii="Corbel" w:hAnsi="Corbel"/>
                <w:sz w:val="24"/>
              </w:rPr>
              <w:t>2</w:t>
            </w:r>
            <w:r w:rsidRPr="006D21AD">
              <w:rPr>
                <w:rFonts w:ascii="Corbel" w:hAnsi="Corbel"/>
                <w:iCs/>
                <w:sz w:val="24"/>
              </w:rPr>
              <w:t xml:space="preserve">. Historia integracji europejskiej  </w:t>
            </w:r>
          </w:p>
        </w:tc>
      </w:tr>
      <w:tr w:rsidR="009B2A35" w:rsidRPr="006D21AD" w14:paraId="177320A8" w14:textId="77777777" w:rsidTr="006D21AD">
        <w:trPr>
          <w:trHeight w:val="370"/>
        </w:trPr>
        <w:tc>
          <w:tcPr>
            <w:tcW w:w="9639" w:type="dxa"/>
          </w:tcPr>
          <w:p w14:paraId="50608DD9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lastRenderedPageBreak/>
              <w:t>3. Charakter prawny i struktura Unii Europejskiej</w:t>
            </w:r>
          </w:p>
        </w:tc>
      </w:tr>
      <w:tr w:rsidR="009B2A35" w:rsidRPr="006D21AD" w14:paraId="35C3A42A" w14:textId="77777777" w:rsidTr="006D21AD">
        <w:trPr>
          <w:trHeight w:val="370"/>
        </w:trPr>
        <w:tc>
          <w:tcPr>
            <w:tcW w:w="9639" w:type="dxa"/>
          </w:tcPr>
          <w:p w14:paraId="64AB1C8B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4. Pojęcie i źródła prawa Unii Europejskiej</w:t>
            </w:r>
          </w:p>
        </w:tc>
      </w:tr>
      <w:tr w:rsidR="009B2A35" w:rsidRPr="006D21AD" w14:paraId="675D5A60" w14:textId="77777777" w:rsidTr="006D21AD">
        <w:trPr>
          <w:trHeight w:val="378"/>
        </w:trPr>
        <w:tc>
          <w:tcPr>
            <w:tcW w:w="9639" w:type="dxa"/>
          </w:tcPr>
          <w:p w14:paraId="1552A9FA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5. System instytucjonalny Unii Europejskiej</w:t>
            </w:r>
          </w:p>
        </w:tc>
      </w:tr>
      <w:tr w:rsidR="009B2A35" w:rsidRPr="006D21AD" w14:paraId="533F5F0B" w14:textId="77777777" w:rsidTr="006D21AD">
        <w:trPr>
          <w:trHeight w:val="405"/>
        </w:trPr>
        <w:tc>
          <w:tcPr>
            <w:tcW w:w="9639" w:type="dxa"/>
          </w:tcPr>
          <w:p w14:paraId="56ECACF9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6. Stanowienie prawa Unii Europejskiej  </w:t>
            </w:r>
          </w:p>
        </w:tc>
      </w:tr>
      <w:tr w:rsidR="009B2A35" w:rsidRPr="006D21AD" w14:paraId="5F413DF9" w14:textId="77777777" w:rsidTr="006D21AD">
        <w:trPr>
          <w:trHeight w:val="405"/>
        </w:trPr>
        <w:tc>
          <w:tcPr>
            <w:tcW w:w="9639" w:type="dxa"/>
          </w:tcPr>
          <w:p w14:paraId="3B5DA480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7. Sądowy system ochrony prawnej w Unii Europejskiej </w:t>
            </w:r>
          </w:p>
        </w:tc>
      </w:tr>
      <w:tr w:rsidR="009B2A35" w:rsidRPr="006D21AD" w14:paraId="4F9EA261" w14:textId="77777777" w:rsidTr="006D21AD">
        <w:trPr>
          <w:trHeight w:val="608"/>
        </w:trPr>
        <w:tc>
          <w:tcPr>
            <w:tcW w:w="9639" w:type="dxa"/>
          </w:tcPr>
          <w:p w14:paraId="738E898B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8. Pozasądowy system ochrony prawnej w Unii Europejskiej </w:t>
            </w:r>
          </w:p>
        </w:tc>
      </w:tr>
      <w:tr w:rsidR="009B2A35" w:rsidRPr="006D21AD" w14:paraId="5BE25D5C" w14:textId="77777777" w:rsidTr="006D21AD">
        <w:trPr>
          <w:trHeight w:val="310"/>
        </w:trPr>
        <w:tc>
          <w:tcPr>
            <w:tcW w:w="9639" w:type="dxa"/>
          </w:tcPr>
          <w:p w14:paraId="5B1E1DCA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9. Przestrzeń Wolności, Bezpieczeństwa i Sprawiedliwości </w:t>
            </w:r>
          </w:p>
        </w:tc>
      </w:tr>
      <w:tr w:rsidR="009B2A35" w:rsidRPr="006D21AD" w14:paraId="637399B6" w14:textId="77777777" w:rsidTr="006D21AD">
        <w:trPr>
          <w:trHeight w:val="581"/>
        </w:trPr>
        <w:tc>
          <w:tcPr>
            <w:tcW w:w="9639" w:type="dxa"/>
          </w:tcPr>
          <w:p w14:paraId="6C097A09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10. Działania zewnętrzne Unii Europejskiej  </w:t>
            </w:r>
          </w:p>
        </w:tc>
      </w:tr>
      <w:tr w:rsidR="009B2A35" w:rsidRPr="006D21AD" w14:paraId="77DF29FF" w14:textId="77777777" w:rsidTr="006D21AD">
        <w:trPr>
          <w:trHeight w:val="405"/>
        </w:trPr>
        <w:tc>
          <w:tcPr>
            <w:tcW w:w="9639" w:type="dxa"/>
          </w:tcPr>
          <w:p w14:paraId="1C9077EE" w14:textId="77777777" w:rsidR="009B2A35" w:rsidRPr="006D21AD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11. Ochrona praw podstawowych, zasady ogólne</w:t>
            </w:r>
          </w:p>
        </w:tc>
      </w:tr>
    </w:tbl>
    <w:p w14:paraId="1F72F6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9C81F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9C81FC1">
        <w:rPr>
          <w:rFonts w:ascii="Corbel" w:hAnsi="Corbel"/>
          <w:sz w:val="24"/>
          <w:szCs w:val="24"/>
        </w:rPr>
        <w:t xml:space="preserve">, </w:t>
      </w:r>
      <w:r w:rsidRPr="39C81FC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2A35" w:rsidRPr="009C54AE" w14:paraId="55225495" w14:textId="77777777" w:rsidTr="006D21AD">
        <w:tc>
          <w:tcPr>
            <w:tcW w:w="9639" w:type="dxa"/>
          </w:tcPr>
          <w:p w14:paraId="5D69D229" w14:textId="77777777" w:rsidR="009B2A35" w:rsidRPr="009C54AE" w:rsidRDefault="009B2A3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A35" w:rsidRPr="009C54AE" w14:paraId="03406ABE" w14:textId="77777777" w:rsidTr="006D21AD">
        <w:tc>
          <w:tcPr>
            <w:tcW w:w="9639" w:type="dxa"/>
          </w:tcPr>
          <w:p w14:paraId="2008A1B5" w14:textId="77777777" w:rsidR="009B2A35" w:rsidRPr="009C54AE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Historia procesu integracji europejskiej</w:t>
            </w:r>
          </w:p>
        </w:tc>
      </w:tr>
      <w:tr w:rsidR="009B2A35" w:rsidRPr="009C54AE" w14:paraId="2AFBF797" w14:textId="77777777" w:rsidTr="006D21AD">
        <w:tc>
          <w:tcPr>
            <w:tcW w:w="9639" w:type="dxa"/>
          </w:tcPr>
          <w:p w14:paraId="401A2F26" w14:textId="77777777" w:rsidR="009B2A35" w:rsidRPr="009C54AE" w:rsidRDefault="009B2A35" w:rsidP="00C024E6">
            <w:pPr>
              <w:pStyle w:val="Akapitzlist"/>
              <w:tabs>
                <w:tab w:val="left" w:pos="66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System instytucjonalny UE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9B2A35" w:rsidRPr="009C54AE" w14:paraId="36E6DE41" w14:textId="77777777" w:rsidTr="006D21AD">
        <w:tc>
          <w:tcPr>
            <w:tcW w:w="9639" w:type="dxa"/>
          </w:tcPr>
          <w:p w14:paraId="7F88764C" w14:textId="77777777" w:rsidR="009B2A35" w:rsidRPr="009C54AE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Źródła prawa UE</w:t>
            </w:r>
          </w:p>
        </w:tc>
      </w:tr>
      <w:tr w:rsidR="009B2A35" w:rsidRPr="009C54AE" w14:paraId="23E14D85" w14:textId="77777777" w:rsidTr="006D21AD">
        <w:tc>
          <w:tcPr>
            <w:tcW w:w="9639" w:type="dxa"/>
          </w:tcPr>
          <w:p w14:paraId="3B2D9D08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Tworzenie prawa UE</w:t>
            </w:r>
          </w:p>
        </w:tc>
      </w:tr>
      <w:tr w:rsidR="009B2A35" w:rsidRPr="009C54AE" w14:paraId="61C848E5" w14:textId="77777777" w:rsidTr="006D21AD">
        <w:tc>
          <w:tcPr>
            <w:tcW w:w="9639" w:type="dxa"/>
          </w:tcPr>
          <w:p w14:paraId="4CFCDBA6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Stosowanie prawa UE</w:t>
            </w:r>
          </w:p>
        </w:tc>
      </w:tr>
      <w:tr w:rsidR="009B2A35" w:rsidRPr="009C54AE" w14:paraId="21BA98A6" w14:textId="77777777" w:rsidTr="006D21AD">
        <w:tc>
          <w:tcPr>
            <w:tcW w:w="9639" w:type="dxa"/>
          </w:tcPr>
          <w:p w14:paraId="2E03B4DB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Sądowa kontrola przestrzegania prawa</w:t>
            </w:r>
          </w:p>
        </w:tc>
      </w:tr>
      <w:tr w:rsidR="009B2A35" w:rsidRPr="009C54AE" w14:paraId="09E43AF7" w14:textId="77777777" w:rsidTr="006D21AD">
        <w:tc>
          <w:tcPr>
            <w:tcW w:w="9639" w:type="dxa"/>
          </w:tcPr>
          <w:p w14:paraId="7B9FF773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Wspólna Polityka Zagraniczna i Bezpieczeństwa</w:t>
            </w:r>
          </w:p>
        </w:tc>
      </w:tr>
      <w:tr w:rsidR="009B2A35" w:rsidRPr="009C54AE" w14:paraId="705D5611" w14:textId="77777777" w:rsidTr="006D21AD">
        <w:tc>
          <w:tcPr>
            <w:tcW w:w="9639" w:type="dxa"/>
          </w:tcPr>
          <w:p w14:paraId="0FAC751B" w14:textId="77777777" w:rsidR="009B2A35" w:rsidRDefault="009B2A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Pr="00B35F46">
              <w:rPr>
                <w:rFonts w:ascii="Corbel" w:hAnsi="Corbel"/>
                <w:iCs/>
                <w:sz w:val="24"/>
                <w:szCs w:val="24"/>
              </w:rPr>
              <w:t>Przestrzeń Wolności, Bezpieczeństwa i Sprawiedliwości</w:t>
            </w:r>
          </w:p>
        </w:tc>
      </w:tr>
    </w:tbl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68BBD" w14:textId="77777777" w:rsidR="005561FE" w:rsidRPr="006D21AD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wykład informacyjny, problemowy, metody kształcenia na odległość,</w:t>
      </w:r>
    </w:p>
    <w:p w14:paraId="662F4B62" w14:textId="77777777" w:rsidR="005561FE" w:rsidRPr="006D21AD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ćwiczenia- analiza i interpretacja tekstów źródłowych, praca w grupach, dyskusja, metody kształcenia na odległość.</w:t>
      </w:r>
    </w:p>
    <w:p w14:paraId="07459315" w14:textId="3BE39823" w:rsidR="00E960BB" w:rsidRDefault="00E960BB" w:rsidP="39C81FC1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37F28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9C81F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6717C20A" w:rsidR="0085747A" w:rsidRPr="009C54AE" w:rsidRDefault="00A84C85" w:rsidP="39C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9C81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052382D" w:rsidRPr="39C81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0AEA" w:rsidRPr="009C54AE" w14:paraId="1AF987C1" w14:textId="77777777" w:rsidTr="39C81FC1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487A98C0" w14:textId="77777777" w:rsidR="00410AEA" w:rsidRPr="009C54AE" w:rsidRDefault="005561FE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2F7CC7D9" w14:textId="77777777" w:rsidR="00410AEA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410AE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410AEA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5747A" w:rsidRPr="009C54AE" w14:paraId="07167452" w14:textId="77777777" w:rsidTr="39C81FC1">
        <w:tc>
          <w:tcPr>
            <w:tcW w:w="1985" w:type="dxa"/>
          </w:tcPr>
          <w:p w14:paraId="727CF0E4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B671B1" w14:textId="77777777" w:rsidR="0085747A" w:rsidRPr="009C54AE" w:rsidRDefault="005561FE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5C0EA831" w14:textId="77777777" w:rsidR="0085747A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410AE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410AEA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C024E6" w:rsidRPr="009C54AE" w14:paraId="02A30526" w14:textId="77777777" w:rsidTr="39C81FC1">
        <w:tc>
          <w:tcPr>
            <w:tcW w:w="1985" w:type="dxa"/>
          </w:tcPr>
          <w:p w14:paraId="002D746F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12D10C" w14:textId="77777777" w:rsidR="00C024E6" w:rsidRPr="009C54AE" w:rsidRDefault="005561FE" w:rsidP="00556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3BFA0216" w14:textId="77777777" w:rsidR="00C024E6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410AE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410AEA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5747A" w:rsidRPr="009C54AE" w14:paraId="3BA48D74" w14:textId="77777777" w:rsidTr="39C81FC1">
        <w:tc>
          <w:tcPr>
            <w:tcW w:w="1985" w:type="dxa"/>
          </w:tcPr>
          <w:p w14:paraId="3A04FA72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836DC06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21AD" w14:paraId="1FE39CCB" w14:textId="77777777" w:rsidTr="39C81FC1">
        <w:tc>
          <w:tcPr>
            <w:tcW w:w="9670" w:type="dxa"/>
          </w:tcPr>
          <w:p w14:paraId="25A57C13" w14:textId="77777777" w:rsidR="005561FE" w:rsidRPr="006D21AD" w:rsidRDefault="005561FE" w:rsidP="005561F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6D21AD">
              <w:rPr>
                <w:rFonts w:ascii="Corbel" w:eastAsia="Cambria" w:hAnsi="Corbel"/>
                <w:b/>
                <w:sz w:val="24"/>
              </w:rPr>
              <w:lastRenderedPageBreak/>
              <w:t>Wykład</w:t>
            </w:r>
            <w:r w:rsidRPr="006D21AD">
              <w:rPr>
                <w:rFonts w:ascii="Corbel" w:eastAsia="Cambria" w:hAnsi="Corbel"/>
                <w:sz w:val="24"/>
              </w:rPr>
              <w:t xml:space="preserve"> – egzamin - test wielkokrotnego wyboru obejmujący 20 pytań. Warunkiem uzyskania oceny pozytywnej jest zdobycie co najmniej 11 punktów. Na rozwiązanie testu student ma 20 minut.</w:t>
            </w:r>
          </w:p>
          <w:p w14:paraId="144A5D23" w14:textId="77777777" w:rsidR="005561FE" w:rsidRPr="006D21AD" w:rsidRDefault="005561FE" w:rsidP="005561F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14:paraId="2081DA37" w14:textId="77777777" w:rsidR="0085747A" w:rsidRPr="006D21AD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1AD">
              <w:rPr>
                <w:rFonts w:ascii="Corbel" w:eastAsia="Cambria" w:hAnsi="Corbel"/>
                <w:smallCaps w:val="0"/>
              </w:rPr>
              <w:t xml:space="preserve">Ćwiczenia </w:t>
            </w:r>
            <w:r w:rsidRPr="006D21AD">
              <w:rPr>
                <w:rFonts w:ascii="Corbel" w:eastAsia="Cambria" w:hAnsi="Corbel"/>
                <w:b w:val="0"/>
                <w:smallCaps w:val="0"/>
              </w:rPr>
              <w:t xml:space="preserve">– zaliczenie - </w:t>
            </w:r>
            <w:r w:rsidR="00410AEA" w:rsidRPr="006D21AD">
              <w:rPr>
                <w:rFonts w:ascii="Corbel" w:eastAsia="Cambria" w:hAnsi="Corbel"/>
                <w:b w:val="0"/>
                <w:smallCaps w:val="0"/>
                <w:lang w:eastAsia="pl-PL"/>
              </w:rPr>
              <w:t>test w</w:t>
            </w:r>
            <w:r w:rsidRPr="006D21AD">
              <w:rPr>
                <w:rFonts w:ascii="Corbel" w:eastAsia="Cambria" w:hAnsi="Corbel"/>
                <w:b w:val="0"/>
                <w:smallCaps w:val="0"/>
                <w:lang w:eastAsia="pl-PL"/>
              </w:rPr>
              <w:t>ielokrotnego wyboru, obejmujący</w:t>
            </w:r>
            <w:r w:rsidR="00410AEA" w:rsidRPr="006D21AD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20 pytań. Warunkiem uzyskania oceny pozytywnej jest zdobycie co najmniej 11 punktów. Na rozwiązanie testu student ma 20 minut. 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  <w:p w14:paraId="637805D2" w14:textId="5155BD84" w:rsidR="0085747A" w:rsidRPr="006D21AD" w:rsidRDefault="0085747A" w:rsidP="39C81FC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39C81FC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C39654" w14:textId="77777777" w:rsidTr="39C81FC1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9C81FC1">
              <w:rPr>
                <w:rFonts w:ascii="Corbel" w:hAnsi="Corbel"/>
                <w:sz w:val="24"/>
                <w:szCs w:val="24"/>
              </w:rPr>
              <w:t>G</w:t>
            </w:r>
            <w:r w:rsidR="0085747A" w:rsidRPr="39C81FC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9C81FC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9C81FC1">
              <w:rPr>
                <w:rFonts w:ascii="Corbel" w:hAnsi="Corbel"/>
                <w:sz w:val="24"/>
                <w:szCs w:val="24"/>
              </w:rPr>
              <w:t xml:space="preserve"> w</w:t>
            </w:r>
            <w:r w:rsidRPr="39C81FC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39C81FC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39C81FC1">
              <w:rPr>
                <w:sz w:val="24"/>
                <w:szCs w:val="24"/>
              </w:rPr>
              <w:t>z</w:t>
            </w:r>
            <w:r w:rsidR="009C1331" w:rsidRPr="39C81FC1">
              <w:rPr>
                <w:sz w:val="24"/>
                <w:szCs w:val="24"/>
              </w:rPr>
              <w:t> </w:t>
            </w:r>
            <w:r w:rsidR="0234E8A9" w:rsidRPr="39C81FC1">
              <w:rPr>
                <w:sz w:val="24"/>
                <w:szCs w:val="24"/>
              </w:rPr>
              <w:t>harmonogramu</w:t>
            </w:r>
            <w:r w:rsidR="0085747A" w:rsidRPr="39C81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39C81FC1">
              <w:rPr>
                <w:rFonts w:ascii="Corbel" w:hAnsi="Corbel"/>
                <w:sz w:val="24"/>
                <w:szCs w:val="24"/>
              </w:rPr>
              <w:t>studiów</w:t>
            </w:r>
            <w:r w:rsidR="0234E8A9" w:rsidRPr="39C81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8861898" w14:textId="77777777" w:rsidR="0085747A" w:rsidRPr="009C54AE" w:rsidRDefault="009B2A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561F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39C81FC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6D2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1D06470" w14:textId="77777777" w:rsidTr="39C81FC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6DE38F6" w14:textId="77777777" w:rsidR="00C61DC5" w:rsidRPr="009C54AE" w:rsidRDefault="009B2A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308A452" w14:textId="77777777" w:rsidTr="39C81FC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FA94C" w14:textId="77777777" w:rsidR="0085747A" w:rsidRPr="009C54AE" w:rsidRDefault="005561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B2A3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5CA6A37" w14:textId="77777777" w:rsidTr="39C81FC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240AAE" w14:textId="77777777" w:rsidR="0085747A" w:rsidRPr="009C54AE" w:rsidRDefault="005561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0FF5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39C81FC1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0D3A218E" w:rsidR="0085747A" w:rsidRPr="009C54AE" w:rsidRDefault="5C7F05B3" w:rsidP="39C81F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C81FC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39C81FC1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678D75AE" w:rsidR="0085747A" w:rsidRPr="009C54AE" w:rsidRDefault="64D981A0" w:rsidP="39C81F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C81FC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E4B5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61FE" w:rsidRPr="00554D1E" w14:paraId="3A0492AD" w14:textId="77777777" w:rsidTr="39C81FC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695" w14:textId="77777777" w:rsidR="005561FE" w:rsidRPr="005561FE" w:rsidRDefault="005561FE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561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AA0A3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J. Barcz, M. Górka, Instytucje i prawo Unii Europejskiej. Podręcznik dla kierunków prawa, zarządzania i administracji, Warszawa 2020,</w:t>
            </w:r>
          </w:p>
          <w:p w14:paraId="2704C42C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M. Kenig-Witkowska, A. Łazowski, R.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Ostrihansky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Prawo instytucjonalne Unii Europejskiej, Warszawa 2019,</w:t>
            </w:r>
          </w:p>
          <w:p w14:paraId="7A13F8F6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Ahlt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Szpunar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, Prawo Europejskie, Warszawa 2011,</w:t>
            </w:r>
          </w:p>
          <w:p w14:paraId="0F9706F1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A. Kuś, Prawo Unii Europejskiej z uwzględnieniem Traktatu z Lizbony, Lublin 2010,</w:t>
            </w:r>
          </w:p>
          <w:p w14:paraId="4B5879E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J. Barcz i inni, Prawo Unii Europejskiej. Zagadnienia systemowe. Prawo materialne i polityki, Warszawa 2007,</w:t>
            </w:r>
          </w:p>
          <w:p w14:paraId="13221A85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R. Skubisz, E. Skrzydło – Tefelska, Prawo Europejskie, Lublin 2006,</w:t>
            </w:r>
          </w:p>
          <w:p w14:paraId="1BA5CC0D" w14:textId="77777777" w:rsid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Wróbel, Wprowadzenie do prawa Wspólnot Europejskich, Unii Europejskiej, Zakamycze 2004,</w:t>
            </w:r>
          </w:p>
          <w:p w14:paraId="66204FF1" w14:textId="77777777" w:rsidR="005561FE" w:rsidRPr="005561FE" w:rsidRDefault="005561FE" w:rsidP="009B2A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61FE" w:rsidRPr="00554D1E" w14:paraId="20B0E73B" w14:textId="77777777" w:rsidTr="39C81FC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B1D9" w14:textId="77777777" w:rsidR="005561FE" w:rsidRPr="005561FE" w:rsidRDefault="005561FE" w:rsidP="39C81FC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39C81FC1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74A697F9" w14:textId="7BF64F4C" w:rsidR="005561FE" w:rsidRPr="005561FE" w:rsidRDefault="005561FE" w:rsidP="39C81FC1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39C81FC1">
              <w:rPr>
                <w:rFonts w:ascii="Corbel" w:hAnsi="Corbel"/>
                <w:b w:val="0"/>
                <w:smallCaps w:val="0"/>
              </w:rPr>
              <w:t>P. K. Rosiak, M.</w:t>
            </w:r>
            <w:r w:rsidR="31D46552" w:rsidRPr="39C81FC1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9C81FC1">
              <w:rPr>
                <w:rFonts w:ascii="Corbel" w:hAnsi="Corbel"/>
                <w:b w:val="0"/>
                <w:smallCaps w:val="0"/>
              </w:rPr>
              <w:t>Szpunar</w:t>
            </w:r>
            <w:proofErr w:type="spellEnd"/>
            <w:r w:rsidRPr="39C81FC1">
              <w:rPr>
                <w:rFonts w:ascii="Corbel" w:hAnsi="Corbel"/>
                <w:b w:val="0"/>
                <w:smallCaps w:val="0"/>
              </w:rPr>
              <w:t xml:space="preserve">, Postępowanie przed Trybunałem </w:t>
            </w:r>
            <w:r w:rsidR="3C5F9A54" w:rsidRPr="39C81FC1">
              <w:rPr>
                <w:rFonts w:ascii="Corbel" w:hAnsi="Corbel"/>
                <w:b w:val="0"/>
                <w:smallCaps w:val="0"/>
              </w:rPr>
              <w:t>S</w:t>
            </w:r>
            <w:r w:rsidRPr="39C81FC1">
              <w:rPr>
                <w:rFonts w:ascii="Corbel" w:hAnsi="Corbel"/>
                <w:b w:val="0"/>
                <w:smallCaps w:val="0"/>
              </w:rPr>
              <w:t>prawiedliwości i Sądem Pierwszej Instancji Wspólnot Europejskich. Aspekty Praktyczne, Warszawa 2007,</w:t>
            </w:r>
          </w:p>
          <w:p w14:paraId="008C9581" w14:textId="77777777" w:rsidR="005561FE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Kornobis</w:t>
            </w:r>
            <w:proofErr w:type="spellEnd"/>
            <w:r w:rsidRPr="005561FE">
              <w:rPr>
                <w:rFonts w:ascii="Corbel" w:hAnsi="Corbel"/>
                <w:b w:val="0"/>
                <w:smallCaps w:val="0"/>
                <w:szCs w:val="24"/>
              </w:rPr>
              <w:t>-Romanowska, Sąd krajowy w prawie wspólnotowym, Kraków 2007,</w:t>
            </w:r>
          </w:p>
          <w:p w14:paraId="3D93377F" w14:textId="77777777" w:rsidR="00EA2DA1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Domańska i inni, Pytania prejudycjalne do Trybunału Sprawiedliwości Wspólnot Europejskich, Warszawa 2007,</w:t>
            </w:r>
          </w:p>
          <w:p w14:paraId="5281B9B1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W. Czapliński i inni, Prawo Wspólnot Europejskich. Orzecznictwo. Wydanie nowe z Suplementem, Warszawa 2006.</w:t>
            </w:r>
          </w:p>
          <w:p w14:paraId="0225DE6B" w14:textId="77777777" w:rsidR="009B2A35" w:rsidRPr="005561FE" w:rsidRDefault="009B2A35" w:rsidP="009B2A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E. Wojtaszek – Mik, C. Mik, Traktaty Europejskie, Kraków 2000.</w:t>
            </w:r>
          </w:p>
          <w:p w14:paraId="2DBF0D7D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62F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FD6B0" w14:textId="77777777" w:rsidR="00A34A13" w:rsidRDefault="00A34A13" w:rsidP="00C16ABF">
      <w:pPr>
        <w:spacing w:after="0" w:line="240" w:lineRule="auto"/>
      </w:pPr>
      <w:r>
        <w:separator/>
      </w:r>
    </w:p>
  </w:endnote>
  <w:endnote w:type="continuationSeparator" w:id="0">
    <w:p w14:paraId="60C6E6EE" w14:textId="77777777" w:rsidR="00A34A13" w:rsidRDefault="00A34A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33BA7" w14:textId="77777777" w:rsidR="00A34A13" w:rsidRDefault="00A34A13" w:rsidP="00C16ABF">
      <w:pPr>
        <w:spacing w:after="0" w:line="240" w:lineRule="auto"/>
      </w:pPr>
      <w:r>
        <w:separator/>
      </w:r>
    </w:p>
  </w:footnote>
  <w:footnote w:type="continuationSeparator" w:id="0">
    <w:p w14:paraId="7A3CBD66" w14:textId="77777777" w:rsidR="00A34A13" w:rsidRDefault="00A34A1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4BCF"/>
    <w:multiLevelType w:val="hybridMultilevel"/>
    <w:tmpl w:val="15F8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21267"/>
    <w:multiLevelType w:val="hybridMultilevel"/>
    <w:tmpl w:val="6B44B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7C6D"/>
    <w:multiLevelType w:val="hybridMultilevel"/>
    <w:tmpl w:val="F080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34B13"/>
    <w:rsid w:val="00135FF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550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0E59"/>
    <w:rsid w:val="00281FF2"/>
    <w:rsid w:val="002857DE"/>
    <w:rsid w:val="00291567"/>
    <w:rsid w:val="002A22BF"/>
    <w:rsid w:val="002A2389"/>
    <w:rsid w:val="002A671D"/>
    <w:rsid w:val="002B20F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F76"/>
    <w:rsid w:val="003F38C0"/>
    <w:rsid w:val="00410AEA"/>
    <w:rsid w:val="00414E3C"/>
    <w:rsid w:val="0042244A"/>
    <w:rsid w:val="0042745A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840FD"/>
    <w:rsid w:val="0048467C"/>
    <w:rsid w:val="00490F7D"/>
    <w:rsid w:val="00491678"/>
    <w:rsid w:val="004968E2"/>
    <w:rsid w:val="004A3EEA"/>
    <w:rsid w:val="004A4D1F"/>
    <w:rsid w:val="004D5282"/>
    <w:rsid w:val="004F1551"/>
    <w:rsid w:val="004F2752"/>
    <w:rsid w:val="004F55A3"/>
    <w:rsid w:val="0050496F"/>
    <w:rsid w:val="00513B6F"/>
    <w:rsid w:val="00517C63"/>
    <w:rsid w:val="005363C4"/>
    <w:rsid w:val="00536BDE"/>
    <w:rsid w:val="00543ACC"/>
    <w:rsid w:val="005561FE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C4"/>
    <w:rsid w:val="00647FA8"/>
    <w:rsid w:val="00650C5F"/>
    <w:rsid w:val="00654934"/>
    <w:rsid w:val="006620D9"/>
    <w:rsid w:val="00671958"/>
    <w:rsid w:val="00675843"/>
    <w:rsid w:val="00696477"/>
    <w:rsid w:val="006D050F"/>
    <w:rsid w:val="006D21A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65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CB5"/>
    <w:rsid w:val="00997F14"/>
    <w:rsid w:val="009A78D9"/>
    <w:rsid w:val="009B2A35"/>
    <w:rsid w:val="009C1331"/>
    <w:rsid w:val="009C3E31"/>
    <w:rsid w:val="009C54AE"/>
    <w:rsid w:val="009C6D3A"/>
    <w:rsid w:val="009C788E"/>
    <w:rsid w:val="009E3B41"/>
    <w:rsid w:val="009F3C5C"/>
    <w:rsid w:val="009F4610"/>
    <w:rsid w:val="00A00ECC"/>
    <w:rsid w:val="00A155EE"/>
    <w:rsid w:val="00A2245B"/>
    <w:rsid w:val="00A30110"/>
    <w:rsid w:val="00A34A13"/>
    <w:rsid w:val="00A36899"/>
    <w:rsid w:val="00A371F6"/>
    <w:rsid w:val="00A43BF6"/>
    <w:rsid w:val="00A53FA5"/>
    <w:rsid w:val="00A54817"/>
    <w:rsid w:val="00A601C8"/>
    <w:rsid w:val="00A60799"/>
    <w:rsid w:val="00A8253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C32"/>
    <w:rsid w:val="00B06142"/>
    <w:rsid w:val="00B135B1"/>
    <w:rsid w:val="00B3130B"/>
    <w:rsid w:val="00B35F46"/>
    <w:rsid w:val="00B40ADB"/>
    <w:rsid w:val="00B43B77"/>
    <w:rsid w:val="00B43E80"/>
    <w:rsid w:val="00B607DB"/>
    <w:rsid w:val="00B66529"/>
    <w:rsid w:val="00B7294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28A"/>
    <w:rsid w:val="00C67E92"/>
    <w:rsid w:val="00C70A26"/>
    <w:rsid w:val="00C766DF"/>
    <w:rsid w:val="00C94B98"/>
    <w:rsid w:val="00CA2B96"/>
    <w:rsid w:val="00CA5089"/>
    <w:rsid w:val="00CD408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522"/>
    <w:rsid w:val="00DA20C4"/>
    <w:rsid w:val="00DA2114"/>
    <w:rsid w:val="00DE09C0"/>
    <w:rsid w:val="00DE4A14"/>
    <w:rsid w:val="00DF320D"/>
    <w:rsid w:val="00DF71C8"/>
    <w:rsid w:val="00E129B8"/>
    <w:rsid w:val="00E1378B"/>
    <w:rsid w:val="00E21E7D"/>
    <w:rsid w:val="00E22FBC"/>
    <w:rsid w:val="00E24BF5"/>
    <w:rsid w:val="00E25338"/>
    <w:rsid w:val="00E35C65"/>
    <w:rsid w:val="00E51E44"/>
    <w:rsid w:val="00E63348"/>
    <w:rsid w:val="00E77E88"/>
    <w:rsid w:val="00E8107D"/>
    <w:rsid w:val="00E960BB"/>
    <w:rsid w:val="00EA2074"/>
    <w:rsid w:val="00EA2DA1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5843"/>
    <w:rsid w:val="00FD503F"/>
    <w:rsid w:val="00FD7589"/>
    <w:rsid w:val="00FF016A"/>
    <w:rsid w:val="00FF1401"/>
    <w:rsid w:val="00FF5E7D"/>
    <w:rsid w:val="0234E8A9"/>
    <w:rsid w:val="06437F28"/>
    <w:rsid w:val="13CD80DA"/>
    <w:rsid w:val="2052382D"/>
    <w:rsid w:val="267037E4"/>
    <w:rsid w:val="2D46A65F"/>
    <w:rsid w:val="310EB5B3"/>
    <w:rsid w:val="31D46552"/>
    <w:rsid w:val="33AD3CC3"/>
    <w:rsid w:val="39C81FC1"/>
    <w:rsid w:val="3C5F9A54"/>
    <w:rsid w:val="43D3B11F"/>
    <w:rsid w:val="4E25CE92"/>
    <w:rsid w:val="591AD376"/>
    <w:rsid w:val="5C7F05B3"/>
    <w:rsid w:val="64D981A0"/>
    <w:rsid w:val="650471FE"/>
    <w:rsid w:val="677BFE82"/>
    <w:rsid w:val="6C3D97C0"/>
    <w:rsid w:val="71432C62"/>
    <w:rsid w:val="7E09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2383"/>
  <w15:docId w15:val="{3F666AED-D3EB-4CA6-BEAF-65B58176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B4186-8A79-4D27-9A07-035B1E89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cp:lastPrinted>2019-02-06T22:12:00Z</cp:lastPrinted>
  <dcterms:created xsi:type="dcterms:W3CDTF">2021-12-14T13:02:00Z</dcterms:created>
  <dcterms:modified xsi:type="dcterms:W3CDTF">2024-08-22T06:46:00Z</dcterms:modified>
</cp:coreProperties>
</file>