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497" w14:textId="06D03D89" w:rsidR="005B594F" w:rsidRPr="009C2AC9" w:rsidRDefault="00F3180C" w:rsidP="005B594F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</w:t>
      </w:r>
      <w:r>
        <w:rPr>
          <w:rFonts w:ascii="Corbel" w:hAnsi="Corbel"/>
          <w:i/>
        </w:rPr>
        <w:tab/>
      </w:r>
      <w:r w:rsidR="005B594F" w:rsidRPr="009C2AC9">
        <w:rPr>
          <w:rFonts w:ascii="Corbel" w:hAnsi="Corbel"/>
          <w:i/>
        </w:rPr>
        <w:t>Zał. nr 1</w:t>
      </w:r>
      <w:r w:rsidR="005B594F">
        <w:rPr>
          <w:rFonts w:ascii="Corbel" w:hAnsi="Corbel"/>
          <w:i/>
        </w:rPr>
        <w:t>4</w:t>
      </w:r>
      <w:r w:rsidR="005B594F" w:rsidRPr="009C2AC9">
        <w:rPr>
          <w:rFonts w:ascii="Corbel" w:hAnsi="Corbel"/>
          <w:i/>
        </w:rPr>
        <w:t>.1. do Uchwały nr …/06/2024 Senatu UR</w:t>
      </w:r>
      <w:r w:rsidR="005B594F" w:rsidRPr="009C2AC9">
        <w:rPr>
          <w:rFonts w:ascii="Corbel" w:hAnsi="Corbel"/>
          <w:i/>
        </w:rPr>
        <w:br/>
        <w:t>z dnia 27 czerwca 2024 r.</w:t>
      </w:r>
    </w:p>
    <w:p w14:paraId="2B3B4903" w14:textId="33DC354B" w:rsidR="00F3180C" w:rsidRPr="005B594F" w:rsidRDefault="00F3180C" w:rsidP="00F3180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Pr="00A04092">
        <w:rPr>
          <w:rFonts w:ascii="Corbel" w:hAnsi="Corbel"/>
          <w:b/>
          <w:sz w:val="24"/>
          <w:szCs w:val="24"/>
        </w:rPr>
        <w:t xml:space="preserve"> O KIERUNKU STUDIÓW</w:t>
      </w:r>
      <w:r w:rsidR="005B594F">
        <w:rPr>
          <w:rFonts w:ascii="Corbel" w:hAnsi="Corbel"/>
          <w:b/>
          <w:sz w:val="24"/>
          <w:szCs w:val="24"/>
        </w:rPr>
        <w:br/>
      </w:r>
      <w:bookmarkStart w:id="0" w:name="_GoBack"/>
      <w:bookmarkEnd w:id="0"/>
    </w:p>
    <w:p w14:paraId="1614A542" w14:textId="355A3987" w:rsidR="00F3180C" w:rsidRPr="00994138" w:rsidRDefault="00F3180C" w:rsidP="005B594F">
      <w:pPr>
        <w:pStyle w:val="Akapitzlist"/>
        <w:spacing w:before="120" w:line="240" w:lineRule="auto"/>
        <w:ind w:left="1077"/>
        <w:jc w:val="center"/>
        <w:rPr>
          <w:rFonts w:ascii="Corbel" w:hAnsi="Corbel"/>
          <w:i/>
          <w:sz w:val="24"/>
          <w:szCs w:val="24"/>
        </w:rPr>
      </w:pPr>
      <w:r w:rsidRPr="00257EF9">
        <w:rPr>
          <w:rFonts w:ascii="Corbel" w:hAnsi="Corbel"/>
          <w:i/>
          <w:sz w:val="24"/>
          <w:szCs w:val="24"/>
        </w:rPr>
        <w:t>Obowi</w:t>
      </w:r>
      <w:r>
        <w:rPr>
          <w:rFonts w:ascii="Corbel" w:hAnsi="Corbel"/>
          <w:i/>
          <w:sz w:val="24"/>
          <w:szCs w:val="24"/>
        </w:rPr>
        <w:t>ązuje od roku akademickiego 202</w:t>
      </w:r>
      <w:r w:rsidR="000871B1">
        <w:rPr>
          <w:rFonts w:ascii="Corbel" w:hAnsi="Corbel"/>
          <w:i/>
          <w:sz w:val="24"/>
          <w:szCs w:val="24"/>
        </w:rPr>
        <w:t>4</w:t>
      </w:r>
      <w:r>
        <w:rPr>
          <w:rFonts w:ascii="Corbel" w:hAnsi="Corbel"/>
          <w:i/>
          <w:sz w:val="24"/>
          <w:szCs w:val="24"/>
        </w:rPr>
        <w:t>/202</w:t>
      </w:r>
      <w:r w:rsidR="000871B1">
        <w:rPr>
          <w:rFonts w:ascii="Corbel" w:hAnsi="Corbel"/>
          <w:i/>
          <w:sz w:val="24"/>
          <w:szCs w:val="24"/>
        </w:rPr>
        <w:t>5</w:t>
      </w:r>
    </w:p>
    <w:p w14:paraId="31147F76" w14:textId="77777777" w:rsidR="00F3180C" w:rsidRPr="00A04092" w:rsidRDefault="00F3180C" w:rsidP="00F3180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F3180C" w:rsidRPr="00A04092" w14:paraId="021C4CFF" w14:textId="77777777" w:rsidTr="00371526">
        <w:tc>
          <w:tcPr>
            <w:tcW w:w="534" w:type="dxa"/>
          </w:tcPr>
          <w:p w14:paraId="7A6AAB54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3BB112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3204ED9C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b/>
                <w:sz w:val="24"/>
                <w:szCs w:val="24"/>
              </w:rPr>
              <w:t>matematyka</w:t>
            </w:r>
          </w:p>
        </w:tc>
      </w:tr>
      <w:tr w:rsidR="00F3180C" w:rsidRPr="00A04092" w14:paraId="7BB778D7" w14:textId="77777777" w:rsidTr="00371526">
        <w:tc>
          <w:tcPr>
            <w:tcW w:w="534" w:type="dxa"/>
          </w:tcPr>
          <w:p w14:paraId="12C28584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88D93E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5C030A85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F3180C" w:rsidRPr="00A04092" w14:paraId="7579C975" w14:textId="77777777" w:rsidTr="00371526">
        <w:tc>
          <w:tcPr>
            <w:tcW w:w="534" w:type="dxa"/>
          </w:tcPr>
          <w:p w14:paraId="48A3B8DB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F78100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711CB5DD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proofErr w:type="spellStart"/>
            <w:r w:rsidRPr="00257EF9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F3180C" w:rsidRPr="00A04092" w14:paraId="4CBA725B" w14:textId="77777777" w:rsidTr="00371526">
        <w:tc>
          <w:tcPr>
            <w:tcW w:w="534" w:type="dxa"/>
          </w:tcPr>
          <w:p w14:paraId="5C32762D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6EC931D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0CD46F31" w14:textId="025A4243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F3180C" w:rsidRPr="00A04092" w14:paraId="452B4E8E" w14:textId="77777777" w:rsidTr="00371526">
        <w:tc>
          <w:tcPr>
            <w:tcW w:w="534" w:type="dxa"/>
          </w:tcPr>
          <w:p w14:paraId="27C1F8CF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772D851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6BE18153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6 semestrów</w:t>
            </w:r>
          </w:p>
        </w:tc>
      </w:tr>
      <w:tr w:rsidR="00F3180C" w:rsidRPr="00A04092" w14:paraId="5307D92C" w14:textId="77777777" w:rsidTr="00371526">
        <w:tc>
          <w:tcPr>
            <w:tcW w:w="534" w:type="dxa"/>
          </w:tcPr>
          <w:p w14:paraId="29716BBD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7F3EF671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2D814384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180 ECTS</w:t>
            </w:r>
          </w:p>
        </w:tc>
      </w:tr>
      <w:tr w:rsidR="00F3180C" w:rsidRPr="00A04092" w14:paraId="38AFF395" w14:textId="77777777" w:rsidTr="00371526">
        <w:tc>
          <w:tcPr>
            <w:tcW w:w="534" w:type="dxa"/>
          </w:tcPr>
          <w:p w14:paraId="6F234BFE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8273567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53387A12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licencjat</w:t>
            </w:r>
          </w:p>
        </w:tc>
      </w:tr>
      <w:tr w:rsidR="00F3180C" w:rsidRPr="00A04092" w14:paraId="5BF06C86" w14:textId="77777777" w:rsidTr="00371526">
        <w:tc>
          <w:tcPr>
            <w:tcW w:w="534" w:type="dxa"/>
          </w:tcPr>
          <w:p w14:paraId="51207C4F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4DD317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>
              <w:rPr>
                <w:rFonts w:ascii="Corbel" w:hAnsi="Corbel"/>
                <w:sz w:val="24"/>
                <w:szCs w:val="24"/>
              </w:rPr>
              <w:t>kierunku studiów do dziedziny nauki i 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>
              <w:rPr>
                <w:rFonts w:ascii="Corbel" w:hAnsi="Corbel"/>
                <w:sz w:val="24"/>
                <w:szCs w:val="24"/>
              </w:rPr>
              <w:t xml:space="preserve">naukowej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52A804E0" w14:textId="77777777" w:rsidR="00F3180C" w:rsidRPr="00257EF9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dziedzina nauk ścisłych i przyrodniczych</w:t>
            </w:r>
          </w:p>
          <w:p w14:paraId="12CFF851" w14:textId="77777777" w:rsidR="00F3180C" w:rsidRPr="00257EF9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dyscyplina wiodąca - matematyka - 100 %</w:t>
            </w:r>
          </w:p>
          <w:p w14:paraId="4F760754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E03FB6D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9D18399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                          </w:t>
            </w:r>
          </w:p>
          <w:p w14:paraId="75B28049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F3180C" w:rsidRPr="00A04092" w14:paraId="48B7F846" w14:textId="77777777" w:rsidTr="00371526">
        <w:tc>
          <w:tcPr>
            <w:tcW w:w="534" w:type="dxa"/>
          </w:tcPr>
          <w:p w14:paraId="31804232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785920" w14:textId="77777777" w:rsidR="00F3180C" w:rsidRPr="009F08EA" w:rsidRDefault="00F3180C" w:rsidP="0037152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43FFD5C0" w14:textId="77777777" w:rsidR="00F3180C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W Uniwersytecie Rzeszowskim nie jest prowadzony inny kierunek o podobnie zdefiniowanych celach i efektach uczenia</w:t>
            </w:r>
            <w:r>
              <w:rPr>
                <w:rFonts w:ascii="Corbel" w:hAnsi="Corbel"/>
                <w:sz w:val="24"/>
                <w:szCs w:val="24"/>
              </w:rPr>
              <w:t> </w:t>
            </w:r>
            <w:r w:rsidRPr="00257EF9">
              <w:rPr>
                <w:rFonts w:ascii="Corbel" w:hAnsi="Corbel"/>
                <w:sz w:val="24"/>
                <w:szCs w:val="24"/>
              </w:rPr>
              <w:t>się. Jest to jedyny kierunek przyporządkowany w 100% do dyscypliny matematyka.</w:t>
            </w:r>
          </w:p>
        </w:tc>
      </w:tr>
      <w:tr w:rsidR="00F3180C" w:rsidRPr="00A04092" w14:paraId="2D6C2905" w14:textId="77777777" w:rsidTr="00371526">
        <w:tc>
          <w:tcPr>
            <w:tcW w:w="534" w:type="dxa"/>
          </w:tcPr>
          <w:p w14:paraId="54BC60E2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DD9491" w14:textId="77777777" w:rsidR="00F3180C" w:rsidRPr="00A04092" w:rsidRDefault="00F3180C" w:rsidP="0037152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2499700B" w14:textId="77777777" w:rsidR="00F3180C" w:rsidRPr="00A04092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Absolwent dysponuje wiedzą z podstawowych działów matematyki. Posiada </w:t>
            </w:r>
            <w:r w:rsidRPr="00257EF9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t xml:space="preserve">umiejętności analitycznego i syntetycznego myślenia, pozwalające na niestandardowe podejście do rozwiązywania różnych praktycznych problemów, wymagających stworzenia </w:t>
            </w:r>
            <w:r w:rsidRPr="00257EF9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lastRenderedPageBreak/>
              <w:t xml:space="preserve">albo zaadaptowania modelu matematycznego. Jest wyposażony w umiejętności z zakresu technik informatycznych, niezbędnych do funkcjonowania w nowoczesnym społeczeństwie, w szczególności stosowanych przy rozwiązywaniu problemów matematycznych. </w:t>
            </w:r>
            <w:r w:rsidRPr="00257EF9">
              <w:rPr>
                <w:rFonts w:ascii="Corbel" w:hAnsi="Corbel"/>
                <w:sz w:val="24"/>
                <w:szCs w:val="24"/>
              </w:rPr>
              <w:t xml:space="preserve">Posługuje się językiem obcym na poziomie B2 Europejskiego Systemu Opisu Kształcenia Językowego. </w:t>
            </w:r>
            <w:r w:rsidRPr="00257EF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J</w:t>
            </w:r>
            <w:r w:rsidRPr="00257EF9">
              <w:rPr>
                <w:rFonts w:ascii="Corbel" w:hAnsi="Corbel"/>
                <w:sz w:val="24"/>
                <w:szCs w:val="24"/>
              </w:rPr>
              <w:t xml:space="preserve">est otwarty na najnowsze osiągnięcia nauki i podnoszenie swoich kwalifikacji. Jest przygotowany do podjęcia studiów drugiego stopnia lub studiów podyplomowych. Ponadto absolwent obierający ścieżkę kształcenia związaną z </w:t>
            </w:r>
            <w:r w:rsidRPr="00257EF9">
              <w:rPr>
                <w:rFonts w:ascii="Corbel" w:hAnsi="Corbel"/>
                <w:i/>
                <w:sz w:val="24"/>
                <w:szCs w:val="24"/>
              </w:rPr>
              <w:t>analizą i bezpieczeństwem danych</w:t>
            </w:r>
            <w:r w:rsidRPr="00257EF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57EF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jest przygotowany do podjęcia pracy m.in. w charakterze konsultanta w zakresie stosowania statystyki matematycznej w analizie danych w bankach, firmach konsultingowych, ośrodkach przetwarzania informacji, przemysłowych centrach badawczych oraz ośrodkach badania opinii społecznej, a także w urzędach statystycznych. Absolwent realizujący ścieżkę związaną z zastosowaniami matematyki w finansach jest przygotowany do pracy w instytucjach finansowych. Absolwent studiów przygotowujących do wykonywania zawodu nauczyciela posiada dodatkowo przygotowanie </w:t>
            </w:r>
            <w:proofErr w:type="spellStart"/>
            <w:r w:rsidRPr="00257EF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psychologiczno</w:t>
            </w:r>
            <w:proofErr w:type="spellEnd"/>
            <w:r w:rsidRPr="00257EF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–pedagogiczne, przygotowanie z zakresu podstaw dydaktyki, emisji głosu i kultury języka.</w:t>
            </w:r>
          </w:p>
        </w:tc>
      </w:tr>
      <w:tr w:rsidR="00F3180C" w:rsidRPr="00A04092" w14:paraId="5779E7D4" w14:textId="77777777" w:rsidTr="00371526">
        <w:tc>
          <w:tcPr>
            <w:tcW w:w="534" w:type="dxa"/>
          </w:tcPr>
          <w:p w14:paraId="296E622F" w14:textId="77777777" w:rsidR="00F3180C" w:rsidRPr="00A04092" w:rsidRDefault="00F3180C" w:rsidP="00F31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B975DA" w14:textId="77777777" w:rsidR="00F3180C" w:rsidRPr="00A04092" w:rsidRDefault="00F3180C" w:rsidP="0037152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07EAD855" w14:textId="77777777" w:rsidR="00F3180C" w:rsidRPr="00257EF9" w:rsidRDefault="00F3180C" w:rsidP="003715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7EF9">
              <w:rPr>
                <w:rFonts w:ascii="Corbel" w:hAnsi="Corbel"/>
                <w:sz w:val="24"/>
                <w:szCs w:val="24"/>
              </w:rPr>
              <w:t>studia prowadzone są w języku polskim</w:t>
            </w:r>
          </w:p>
        </w:tc>
      </w:tr>
    </w:tbl>
    <w:p w14:paraId="08C3201E" w14:textId="46212D31" w:rsidR="005B594F" w:rsidRPr="005B594F" w:rsidRDefault="005B594F" w:rsidP="005B594F">
      <w:pPr>
        <w:spacing w:after="0" w:line="240" w:lineRule="auto"/>
        <w:ind w:left="4962"/>
        <w:jc w:val="center"/>
        <w:rPr>
          <w:rFonts w:ascii="Corbel" w:hAnsi="Corbel"/>
          <w:sz w:val="18"/>
          <w:szCs w:val="18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01CF7F8E" w14:textId="77777777" w:rsidR="005B594F" w:rsidRPr="005B594F" w:rsidRDefault="005B594F" w:rsidP="005B594F">
      <w:pPr>
        <w:spacing w:after="0" w:line="240" w:lineRule="auto"/>
        <w:ind w:left="4962"/>
        <w:jc w:val="center"/>
        <w:rPr>
          <w:rFonts w:ascii="Corbel" w:hAnsi="Corbel"/>
          <w:sz w:val="18"/>
          <w:szCs w:val="18"/>
        </w:rPr>
      </w:pPr>
    </w:p>
    <w:p w14:paraId="76A7D5BD" w14:textId="371A0D1D" w:rsidR="00B8797A" w:rsidRDefault="005B594F" w:rsidP="005B594F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sectPr w:rsidR="00B8797A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0C"/>
    <w:rsid w:val="000871B1"/>
    <w:rsid w:val="001227BF"/>
    <w:rsid w:val="005B594F"/>
    <w:rsid w:val="009D1484"/>
    <w:rsid w:val="00B8797A"/>
    <w:rsid w:val="00F3180C"/>
    <w:rsid w:val="00F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5443"/>
  <w15:chartTrackingRefBased/>
  <w15:docId w15:val="{23671D77-B617-4537-BB23-1C36407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80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80C"/>
    <w:pPr>
      <w:ind w:left="720"/>
      <w:contextualSpacing/>
    </w:pPr>
  </w:style>
  <w:style w:type="table" w:styleId="Tabela-Siatka">
    <w:name w:val="Table Grid"/>
    <w:basedOn w:val="Standardowy"/>
    <w:uiPriority w:val="59"/>
    <w:rsid w:val="00F318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Trybuckas</dc:creator>
  <cp:keywords/>
  <dc:description/>
  <cp:lastModifiedBy>Admin</cp:lastModifiedBy>
  <cp:revision>5</cp:revision>
  <dcterms:created xsi:type="dcterms:W3CDTF">2023-05-04T07:38:00Z</dcterms:created>
  <dcterms:modified xsi:type="dcterms:W3CDTF">2024-06-07T07:05:00Z</dcterms:modified>
</cp:coreProperties>
</file>