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DBED" w14:textId="50202835" w:rsidR="006F0329" w:rsidRPr="00251FEA" w:rsidRDefault="006F0329" w:rsidP="006F0329">
      <w:pPr>
        <w:jc w:val="right"/>
        <w:rPr>
          <w:rFonts w:ascii="Corbel" w:hAnsi="Corbel"/>
          <w:i/>
        </w:rPr>
      </w:pPr>
      <w:r w:rsidRPr="00251FEA">
        <w:rPr>
          <w:rFonts w:ascii="Corbel" w:hAnsi="Corbel"/>
          <w:i/>
        </w:rPr>
        <w:t xml:space="preserve">Zał. nr </w:t>
      </w:r>
      <w:r w:rsidR="005F3764">
        <w:rPr>
          <w:rFonts w:ascii="Corbel" w:hAnsi="Corbel"/>
          <w:i/>
        </w:rPr>
        <w:t>2</w:t>
      </w:r>
      <w:bookmarkStart w:id="0" w:name="_GoBack"/>
      <w:bookmarkEnd w:id="0"/>
      <w:r w:rsidRPr="00251FEA">
        <w:rPr>
          <w:rFonts w:ascii="Corbel" w:hAnsi="Corbel"/>
          <w:i/>
        </w:rPr>
        <w:t>.3</w:t>
      </w:r>
      <w:r w:rsidR="00BF7226">
        <w:rPr>
          <w:rFonts w:ascii="Corbel" w:hAnsi="Corbel"/>
          <w:i/>
        </w:rPr>
        <w:t>.</w:t>
      </w:r>
      <w:r w:rsidRPr="00251FEA">
        <w:rPr>
          <w:rFonts w:ascii="Corbel" w:hAnsi="Corbel"/>
          <w:i/>
        </w:rPr>
        <w:t xml:space="preserve"> do</w:t>
      </w:r>
      <w:r w:rsidR="001151E7" w:rsidRPr="00251FEA">
        <w:rPr>
          <w:rFonts w:ascii="Corbel" w:hAnsi="Corbel"/>
          <w:i/>
        </w:rPr>
        <w:t xml:space="preserve"> </w:t>
      </w:r>
      <w:r w:rsidR="00BF7226">
        <w:rPr>
          <w:rFonts w:ascii="Corbel" w:hAnsi="Corbel"/>
          <w:i/>
        </w:rPr>
        <w:t>Uchwały nr …/02/2024 Senatu UR</w:t>
      </w:r>
      <w:r w:rsidR="00BF7226">
        <w:rPr>
          <w:rFonts w:ascii="Corbel" w:hAnsi="Corbel"/>
          <w:i/>
        </w:rPr>
        <w:br/>
        <w:t>z dnia 29 lutego 2024 r.</w:t>
      </w:r>
    </w:p>
    <w:p w14:paraId="6D0FC140" w14:textId="77777777" w:rsidR="006F0329" w:rsidRPr="00251FEA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251FEA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1075B042" w14:textId="77777777" w:rsidR="006F0329" w:rsidRPr="00251FEA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0DF79F22" w14:textId="77777777" w:rsidR="006F0329" w:rsidRPr="00251FEA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251FEA">
        <w:rPr>
          <w:rFonts w:ascii="Corbel" w:hAnsi="Corbel"/>
          <w:i/>
          <w:sz w:val="24"/>
          <w:szCs w:val="24"/>
        </w:rPr>
        <w:t xml:space="preserve">Obowiązuje od roku akademickiego </w:t>
      </w:r>
      <w:r w:rsidR="00501437" w:rsidRPr="00251FEA">
        <w:rPr>
          <w:rFonts w:ascii="Corbel" w:hAnsi="Corbel"/>
          <w:i/>
          <w:sz w:val="24"/>
          <w:szCs w:val="24"/>
        </w:rPr>
        <w:t>202</w:t>
      </w:r>
      <w:r w:rsidR="003A68D4" w:rsidRPr="00251FEA">
        <w:rPr>
          <w:rFonts w:ascii="Corbel" w:hAnsi="Corbel"/>
          <w:i/>
          <w:sz w:val="24"/>
          <w:szCs w:val="24"/>
        </w:rPr>
        <w:t>3</w:t>
      </w:r>
      <w:r w:rsidR="00501437" w:rsidRPr="00251FEA">
        <w:rPr>
          <w:rFonts w:ascii="Corbel" w:hAnsi="Corbel"/>
          <w:i/>
          <w:sz w:val="24"/>
          <w:szCs w:val="24"/>
        </w:rPr>
        <w:t>/202</w:t>
      </w:r>
      <w:r w:rsidR="003A68D4" w:rsidRPr="00251FEA">
        <w:rPr>
          <w:rFonts w:ascii="Corbel" w:hAnsi="Corbel"/>
          <w:i/>
          <w:sz w:val="24"/>
          <w:szCs w:val="24"/>
        </w:rPr>
        <w:t>4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3147"/>
        <w:gridCol w:w="1814"/>
        <w:gridCol w:w="170"/>
        <w:gridCol w:w="1134"/>
        <w:gridCol w:w="964"/>
        <w:gridCol w:w="170"/>
        <w:gridCol w:w="1134"/>
        <w:gridCol w:w="964"/>
      </w:tblGrid>
      <w:tr w:rsidR="00251FEA" w:rsidRPr="00251FEA" w14:paraId="24A48104" w14:textId="77777777" w:rsidTr="005B4C0E">
        <w:tc>
          <w:tcPr>
            <w:tcW w:w="5495" w:type="dxa"/>
            <w:gridSpan w:val="4"/>
          </w:tcPr>
          <w:p w14:paraId="6FA095F1" w14:textId="77777777" w:rsidR="006F0329" w:rsidRPr="00251FEA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6"/>
          </w:tcPr>
          <w:p w14:paraId="7EA54066" w14:textId="77777777" w:rsidR="006F0329" w:rsidRPr="00251FEA" w:rsidRDefault="002E0896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251FEA" w:rsidRPr="00251FEA" w14:paraId="55816D79" w14:textId="77777777" w:rsidTr="005B4C0E">
        <w:tc>
          <w:tcPr>
            <w:tcW w:w="5495" w:type="dxa"/>
            <w:gridSpan w:val="4"/>
          </w:tcPr>
          <w:p w14:paraId="55F648F3" w14:textId="77777777" w:rsidR="006F0329" w:rsidRPr="00251FEA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6"/>
          </w:tcPr>
          <w:p w14:paraId="64596B97" w14:textId="77777777" w:rsidR="006F0329" w:rsidRPr="00251FEA" w:rsidRDefault="00501437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studia</w:t>
            </w:r>
            <w:r w:rsidRPr="00251FEA">
              <w:rPr>
                <w:rFonts w:ascii="Corbel" w:hAnsi="Corbel"/>
                <w:b/>
                <w:sz w:val="24"/>
                <w:szCs w:val="24"/>
              </w:rPr>
              <w:t xml:space="preserve"> d</w:t>
            </w:r>
            <w:r w:rsidR="002E0896" w:rsidRPr="00251FEA">
              <w:rPr>
                <w:rFonts w:ascii="Corbel" w:hAnsi="Corbel"/>
                <w:b/>
                <w:sz w:val="24"/>
                <w:szCs w:val="24"/>
              </w:rPr>
              <w:t>rugiego stopnia</w:t>
            </w:r>
          </w:p>
        </w:tc>
      </w:tr>
      <w:tr w:rsidR="00251FEA" w:rsidRPr="00251FEA" w14:paraId="3C2FC19C" w14:textId="77777777" w:rsidTr="005B4C0E">
        <w:tc>
          <w:tcPr>
            <w:tcW w:w="5495" w:type="dxa"/>
            <w:gridSpan w:val="4"/>
          </w:tcPr>
          <w:p w14:paraId="6151B131" w14:textId="77777777" w:rsidR="006F0329" w:rsidRPr="00251FEA" w:rsidRDefault="006F0329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6"/>
          </w:tcPr>
          <w:p w14:paraId="160796C5" w14:textId="77777777" w:rsidR="006F0329" w:rsidRPr="00251FEA" w:rsidRDefault="002E0896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251FEA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251FEA" w:rsidRPr="00251FEA" w14:paraId="34C157FF" w14:textId="77777777" w:rsidTr="005B4C0E">
        <w:trPr>
          <w:trHeight w:val="443"/>
        </w:trPr>
        <w:tc>
          <w:tcPr>
            <w:tcW w:w="534" w:type="dxa"/>
            <w:gridSpan w:val="2"/>
            <w:vMerge w:val="restart"/>
          </w:tcPr>
          <w:p w14:paraId="0F234070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2"/>
            <w:vMerge w:val="restart"/>
          </w:tcPr>
          <w:p w14:paraId="566BB618" w14:textId="77777777" w:rsidR="006F0329" w:rsidRPr="00251FEA" w:rsidRDefault="006F0329" w:rsidP="005B4C0E">
            <w:pPr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7D359367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</w:tcPr>
          <w:p w14:paraId="0B64CAB6" w14:textId="77777777" w:rsidR="006F0329" w:rsidRPr="00251FEA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251FEA" w:rsidRPr="00251FEA" w14:paraId="680B3F1A" w14:textId="77777777" w:rsidTr="005B4C0E">
        <w:trPr>
          <w:trHeight w:val="442"/>
        </w:trPr>
        <w:tc>
          <w:tcPr>
            <w:tcW w:w="534" w:type="dxa"/>
            <w:gridSpan w:val="2"/>
            <w:vMerge/>
          </w:tcPr>
          <w:p w14:paraId="7859AE18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2378D478" w14:textId="77777777" w:rsidR="006F0329" w:rsidRPr="00251FEA" w:rsidRDefault="006F0329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D7BBBE9" w14:textId="77777777" w:rsidR="006F0329" w:rsidRPr="00251FEA" w:rsidRDefault="002E0896" w:rsidP="0050143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900</w:t>
            </w:r>
          </w:p>
        </w:tc>
        <w:tc>
          <w:tcPr>
            <w:tcW w:w="2268" w:type="dxa"/>
            <w:gridSpan w:val="3"/>
          </w:tcPr>
          <w:p w14:paraId="3EE4BBF3" w14:textId="77777777" w:rsidR="006F0329" w:rsidRPr="00251FEA" w:rsidRDefault="00501437" w:rsidP="0050143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251FEA" w:rsidRPr="00251FEA" w14:paraId="52017F0A" w14:textId="77777777" w:rsidTr="005B4C0E">
        <w:tc>
          <w:tcPr>
            <w:tcW w:w="534" w:type="dxa"/>
            <w:gridSpan w:val="2"/>
          </w:tcPr>
          <w:p w14:paraId="1280C2E2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0C103EF" w14:textId="77777777" w:rsidR="006F0329" w:rsidRPr="00251FEA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6"/>
          </w:tcPr>
          <w:p w14:paraId="37C0CBA1" w14:textId="77777777" w:rsidR="006F0329" w:rsidRPr="00251FEA" w:rsidRDefault="00501437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rolnictwo i ogrodnictwo – </w:t>
            </w:r>
            <w:r w:rsidR="000C7F95" w:rsidRPr="00251FEA">
              <w:rPr>
                <w:rFonts w:ascii="Corbel" w:hAnsi="Corbel"/>
                <w:sz w:val="24"/>
                <w:szCs w:val="24"/>
              </w:rPr>
              <w:t>63</w:t>
            </w:r>
          </w:p>
          <w:p w14:paraId="7A50B73A" w14:textId="77777777" w:rsidR="00501437" w:rsidRPr="00251FEA" w:rsidRDefault="00501437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technologia żywności i żywienia – </w:t>
            </w:r>
            <w:r w:rsidR="000C7F95" w:rsidRPr="00251FEA">
              <w:rPr>
                <w:rFonts w:ascii="Corbel" w:hAnsi="Corbel"/>
                <w:sz w:val="24"/>
                <w:szCs w:val="24"/>
              </w:rPr>
              <w:t>9</w:t>
            </w:r>
          </w:p>
          <w:p w14:paraId="059220D0" w14:textId="77777777" w:rsidR="00501437" w:rsidRPr="00251FEA" w:rsidRDefault="006B1305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nauki </w:t>
            </w:r>
            <w:r w:rsidR="00471335" w:rsidRPr="00251FEA">
              <w:rPr>
                <w:rFonts w:ascii="Corbel" w:hAnsi="Corbel"/>
                <w:sz w:val="24"/>
                <w:szCs w:val="24"/>
              </w:rPr>
              <w:t>o</w:t>
            </w:r>
            <w:r w:rsidRPr="00251FEA">
              <w:rPr>
                <w:rFonts w:ascii="Corbel" w:hAnsi="Corbel"/>
                <w:sz w:val="24"/>
                <w:szCs w:val="24"/>
              </w:rPr>
              <w:t xml:space="preserve"> zarządzaniu i jakości</w:t>
            </w:r>
            <w:r w:rsidR="00501437" w:rsidRPr="00251FEA">
              <w:rPr>
                <w:rFonts w:ascii="Corbel" w:hAnsi="Corbel"/>
                <w:sz w:val="24"/>
                <w:szCs w:val="24"/>
              </w:rPr>
              <w:t xml:space="preserve"> - </w:t>
            </w:r>
            <w:r w:rsidR="000C7F95" w:rsidRPr="00251FEA">
              <w:rPr>
                <w:rFonts w:ascii="Corbel" w:hAnsi="Corbel"/>
                <w:sz w:val="24"/>
                <w:szCs w:val="24"/>
              </w:rPr>
              <w:t>18</w:t>
            </w:r>
          </w:p>
        </w:tc>
      </w:tr>
      <w:tr w:rsidR="00251FEA" w:rsidRPr="00251FEA" w14:paraId="44D5E943" w14:textId="77777777" w:rsidTr="005B4C0E">
        <w:trPr>
          <w:trHeight w:val="735"/>
        </w:trPr>
        <w:tc>
          <w:tcPr>
            <w:tcW w:w="534" w:type="dxa"/>
            <w:gridSpan w:val="2"/>
            <w:vMerge w:val="restart"/>
          </w:tcPr>
          <w:p w14:paraId="1E73744F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2"/>
            <w:vMerge w:val="restart"/>
          </w:tcPr>
          <w:p w14:paraId="4E41ADBA" w14:textId="77777777" w:rsidR="006F0329" w:rsidRPr="00251FEA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48B286CC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</w:tcPr>
          <w:p w14:paraId="03EA0BDE" w14:textId="77777777" w:rsidR="006F0329" w:rsidRPr="00251FEA" w:rsidRDefault="006F03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251FEA" w:rsidRPr="00251FEA" w14:paraId="7EC6E3EF" w14:textId="77777777" w:rsidTr="005B4C0E">
        <w:trPr>
          <w:trHeight w:val="735"/>
        </w:trPr>
        <w:tc>
          <w:tcPr>
            <w:tcW w:w="534" w:type="dxa"/>
            <w:gridSpan w:val="2"/>
            <w:vMerge/>
          </w:tcPr>
          <w:p w14:paraId="5D629038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14:paraId="2943AF3A" w14:textId="77777777" w:rsidR="006F0329" w:rsidRPr="00251FEA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4A619B7" w14:textId="77777777" w:rsidR="006F0329" w:rsidRPr="00251FEA" w:rsidRDefault="0002654D" w:rsidP="0002654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3"/>
          </w:tcPr>
          <w:p w14:paraId="13354C90" w14:textId="77777777" w:rsidR="006F0329" w:rsidRPr="00251FEA" w:rsidRDefault="006B1691" w:rsidP="006B169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251FEA" w:rsidRPr="00251FEA" w14:paraId="78E374A3" w14:textId="77777777" w:rsidTr="005B4C0E">
        <w:tc>
          <w:tcPr>
            <w:tcW w:w="534" w:type="dxa"/>
            <w:gridSpan w:val="2"/>
          </w:tcPr>
          <w:p w14:paraId="2F234DCC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2"/>
          </w:tcPr>
          <w:p w14:paraId="786C5C41" w14:textId="77777777" w:rsidR="006F0329" w:rsidRPr="00251FEA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6"/>
          </w:tcPr>
          <w:p w14:paraId="701C1EF3" w14:textId="77777777" w:rsidR="006F0329" w:rsidRPr="00251FEA" w:rsidRDefault="00EE6787" w:rsidP="0050143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5</w:t>
            </w:r>
          </w:p>
          <w:p w14:paraId="01DC3B81" w14:textId="1B5E65BB" w:rsidR="009A08B5" w:rsidRPr="00251FEA" w:rsidRDefault="009A08B5" w:rsidP="0050143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(Ekofilozofia/Filozofia, Przedmiot ogólnouczelniany)</w:t>
            </w:r>
          </w:p>
        </w:tc>
      </w:tr>
      <w:tr w:rsidR="00251FEA" w:rsidRPr="00251FEA" w14:paraId="5385DAC4" w14:textId="77777777" w:rsidTr="005B4C0E">
        <w:tc>
          <w:tcPr>
            <w:tcW w:w="534" w:type="dxa"/>
            <w:gridSpan w:val="2"/>
          </w:tcPr>
          <w:p w14:paraId="48FE9AEF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2"/>
          </w:tcPr>
          <w:p w14:paraId="6A8AAE32" w14:textId="77777777" w:rsidR="006F0329" w:rsidRPr="00251FEA" w:rsidRDefault="006F0329" w:rsidP="005B4C0E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6"/>
          </w:tcPr>
          <w:p w14:paraId="6549992A" w14:textId="6F8EE8AA" w:rsidR="006F0329" w:rsidRPr="00251FEA" w:rsidRDefault="003A68D4" w:rsidP="00D93B36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42</w:t>
            </w:r>
          </w:p>
        </w:tc>
      </w:tr>
      <w:tr w:rsidR="00251FEA" w:rsidRPr="00251FEA" w14:paraId="0FF018FE" w14:textId="77777777" w:rsidTr="005B4C0E">
        <w:tc>
          <w:tcPr>
            <w:tcW w:w="534" w:type="dxa"/>
            <w:gridSpan w:val="2"/>
          </w:tcPr>
          <w:p w14:paraId="51266A5E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2"/>
          </w:tcPr>
          <w:p w14:paraId="49CB77D5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6"/>
          </w:tcPr>
          <w:p w14:paraId="1DC0FE7F" w14:textId="77777777" w:rsidR="006F0329" w:rsidRPr="00251FEA" w:rsidRDefault="003851D4" w:rsidP="0050143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51FEA" w:rsidRPr="00251FEA" w14:paraId="02124601" w14:textId="77777777" w:rsidTr="005B4C0E">
        <w:tc>
          <w:tcPr>
            <w:tcW w:w="534" w:type="dxa"/>
            <w:gridSpan w:val="2"/>
          </w:tcPr>
          <w:p w14:paraId="08FB8D5C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2"/>
          </w:tcPr>
          <w:p w14:paraId="356AC808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6"/>
          </w:tcPr>
          <w:p w14:paraId="5C88AAEE" w14:textId="77777777" w:rsidR="006F0329" w:rsidRPr="00251FEA" w:rsidRDefault="003851D4" w:rsidP="0050143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51FEA" w:rsidRPr="00251FEA" w14:paraId="3C97C962" w14:textId="77777777" w:rsidTr="005B4C0E">
        <w:tc>
          <w:tcPr>
            <w:tcW w:w="534" w:type="dxa"/>
            <w:gridSpan w:val="2"/>
          </w:tcPr>
          <w:p w14:paraId="12144A2A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F6DF0C6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</w:t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naukowej lub udział w tej działalności – dotyczy profilu </w:t>
            </w:r>
            <w:proofErr w:type="spellStart"/>
            <w:r w:rsidRPr="00251FEA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6"/>
          </w:tcPr>
          <w:p w14:paraId="27BA994C" w14:textId="77777777" w:rsidR="006F0329" w:rsidRPr="00251FEA" w:rsidRDefault="000C7F95" w:rsidP="0002654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lastRenderedPageBreak/>
              <w:t>47</w:t>
            </w:r>
          </w:p>
        </w:tc>
      </w:tr>
      <w:tr w:rsidR="00251FEA" w:rsidRPr="00251FEA" w14:paraId="5BCD97EF" w14:textId="77777777" w:rsidTr="005B4C0E">
        <w:tc>
          <w:tcPr>
            <w:tcW w:w="534" w:type="dxa"/>
            <w:gridSpan w:val="2"/>
          </w:tcPr>
          <w:p w14:paraId="26158719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2ECA366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Wymiar, zasady i formy odbywania praktyk zawodowych oraz liczba punktów ECTS przypisana do praktyk</w:t>
            </w:r>
          </w:p>
        </w:tc>
        <w:tc>
          <w:tcPr>
            <w:tcW w:w="4536" w:type="dxa"/>
            <w:gridSpan w:val="6"/>
          </w:tcPr>
          <w:p w14:paraId="6B45474F" w14:textId="77777777" w:rsidR="006F0329" w:rsidRPr="00251FEA" w:rsidRDefault="003851D4" w:rsidP="0050143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51FEA" w:rsidRPr="00251FEA" w14:paraId="5C503BD2" w14:textId="77777777" w:rsidTr="008827C2">
        <w:tc>
          <w:tcPr>
            <w:tcW w:w="534" w:type="dxa"/>
            <w:gridSpan w:val="2"/>
          </w:tcPr>
          <w:p w14:paraId="794A9DF0" w14:textId="77777777" w:rsidR="00B82E25" w:rsidRPr="00251FEA" w:rsidRDefault="00B82E25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8"/>
          </w:tcPr>
          <w:p w14:paraId="3E99F287" w14:textId="77777777" w:rsidR="00B82E25" w:rsidRPr="00251FEA" w:rsidRDefault="00B82E25" w:rsidP="005B4C0E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b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  <w:p w14:paraId="32FA0614" w14:textId="77777777" w:rsidR="00B82E25" w:rsidRPr="00251FEA" w:rsidRDefault="00B82E25" w:rsidP="00611149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Weryfikacja i ocena osiąganych przez studenta efektów uczenia się odbywa się w trakcie studiów, na każdym etapie kształcenia podczas realizacji wszystkich rodzajów zajęć. Metody weryfikacji efektów uczenia się są zróżnicowane, odpowiadające rodzajowi zajęć. Informacje </w:t>
            </w:r>
            <w:r w:rsidR="00857D4E" w:rsidRPr="00251FEA">
              <w:rPr>
                <w:rFonts w:ascii="Corbel" w:hAnsi="Corbel"/>
                <w:sz w:val="24"/>
                <w:szCs w:val="24"/>
              </w:rPr>
              <w:br/>
            </w:r>
            <w:r w:rsidR="006B1691" w:rsidRPr="00251FEA">
              <w:rPr>
                <w:rFonts w:ascii="Corbel" w:hAnsi="Corbel"/>
                <w:sz w:val="24"/>
                <w:szCs w:val="24"/>
              </w:rPr>
              <w:t>o sposobach weryfikacji efektów</w:t>
            </w:r>
            <w:r w:rsidRPr="00251FEA">
              <w:rPr>
                <w:rFonts w:ascii="Corbel" w:hAnsi="Corbel"/>
                <w:sz w:val="24"/>
                <w:szCs w:val="24"/>
              </w:rPr>
              <w:t xml:space="preserve"> zawarte są w sylabusach przedmiotów. Weryfikacja </w:t>
            </w:r>
            <w:r w:rsidR="00D5023C" w:rsidRPr="00251FEA">
              <w:rPr>
                <w:rFonts w:ascii="Corbel" w:hAnsi="Corbel"/>
                <w:sz w:val="24"/>
                <w:szCs w:val="24"/>
              </w:rPr>
              <w:t xml:space="preserve">wiedzy odbywa się poprzez kolokwia, egzaminy, wypowiedzi ustne. Metody weryfikacji z zakresu umiejętności i kompetencji społecznych obejmują sprawozdania, prezentacje, kolokwia, przygotowywanie projektów, udział w debacie i dyskusji </w:t>
            </w:r>
            <w:r w:rsidR="006B1691" w:rsidRPr="00251FEA">
              <w:rPr>
                <w:rFonts w:ascii="Corbel" w:hAnsi="Corbel"/>
                <w:sz w:val="24"/>
                <w:szCs w:val="24"/>
              </w:rPr>
              <w:t xml:space="preserve">a także </w:t>
            </w:r>
            <w:r w:rsidR="00D5023C" w:rsidRPr="00251FEA">
              <w:rPr>
                <w:rFonts w:ascii="Corbel" w:hAnsi="Corbel"/>
                <w:sz w:val="24"/>
                <w:szCs w:val="24"/>
              </w:rPr>
              <w:t>obserwacj</w:t>
            </w:r>
            <w:r w:rsidR="006B1691" w:rsidRPr="00251FEA">
              <w:rPr>
                <w:rFonts w:ascii="Corbel" w:hAnsi="Corbel"/>
                <w:sz w:val="24"/>
                <w:szCs w:val="24"/>
              </w:rPr>
              <w:t>ę</w:t>
            </w:r>
            <w:r w:rsidR="00D5023C" w:rsidRPr="00251FEA">
              <w:rPr>
                <w:rFonts w:ascii="Corbel" w:hAnsi="Corbel"/>
                <w:sz w:val="24"/>
                <w:szCs w:val="24"/>
              </w:rPr>
              <w:t xml:space="preserve"> pracy </w:t>
            </w:r>
            <w:r w:rsidR="00857D4E" w:rsidRPr="00251FEA">
              <w:rPr>
                <w:rFonts w:ascii="Corbel" w:hAnsi="Corbel"/>
                <w:sz w:val="24"/>
                <w:szCs w:val="24"/>
              </w:rPr>
              <w:br/>
            </w:r>
            <w:r w:rsidR="00D5023C" w:rsidRPr="00251FEA">
              <w:rPr>
                <w:rFonts w:ascii="Corbel" w:hAnsi="Corbel"/>
                <w:sz w:val="24"/>
                <w:szCs w:val="24"/>
              </w:rPr>
              <w:t>i zaangażowani</w:t>
            </w:r>
            <w:r w:rsidR="00BD3FD9" w:rsidRPr="00251FEA">
              <w:rPr>
                <w:rFonts w:ascii="Corbel" w:hAnsi="Corbel"/>
                <w:sz w:val="24"/>
                <w:szCs w:val="24"/>
              </w:rPr>
              <w:t>a</w:t>
            </w:r>
            <w:r w:rsidR="00D5023C" w:rsidRPr="00251FEA">
              <w:rPr>
                <w:rFonts w:ascii="Corbel" w:hAnsi="Corbel"/>
                <w:sz w:val="24"/>
                <w:szCs w:val="24"/>
              </w:rPr>
              <w:t xml:space="preserve"> studenta w trakcie zajęć laboratoryjnych</w:t>
            </w:r>
            <w:r w:rsidR="006B1691" w:rsidRPr="00251FEA">
              <w:rPr>
                <w:rFonts w:ascii="Corbel" w:hAnsi="Corbel"/>
                <w:sz w:val="24"/>
                <w:szCs w:val="24"/>
              </w:rPr>
              <w:t xml:space="preserve"> i</w:t>
            </w:r>
            <w:r w:rsidR="00D5023C" w:rsidRPr="00251FEA">
              <w:rPr>
                <w:rFonts w:ascii="Corbel" w:hAnsi="Corbel"/>
                <w:sz w:val="24"/>
                <w:szCs w:val="24"/>
              </w:rPr>
              <w:t xml:space="preserve"> pracy w zespole.</w:t>
            </w:r>
          </w:p>
          <w:p w14:paraId="3CC7E95C" w14:textId="77777777" w:rsidR="00D5023C" w:rsidRPr="00251FEA" w:rsidRDefault="00D5023C" w:rsidP="00611149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Kluczowe dla programu efekty uczenia się podlegają ocenie i weryfikacji w ramach przygotowywania i prezentowania pracy dyplomowej oraz seminarium i egzaminu dyplomowego. Ocenie podlega umiejętność twórczego wykorzystania zdobytej podczas studiów wiedzy oraz aktualnej, w tym obcojęzycznej literatury. Uwzględnia się również umiejętność samodzielnego napisania pracy i formułowania końcowych wniosków.</w:t>
            </w:r>
          </w:p>
        </w:tc>
      </w:tr>
      <w:tr w:rsidR="00251FEA" w:rsidRPr="00251FEA" w14:paraId="09BDCD19" w14:textId="77777777" w:rsidTr="005B4C0E">
        <w:tc>
          <w:tcPr>
            <w:tcW w:w="534" w:type="dxa"/>
            <w:gridSpan w:val="2"/>
          </w:tcPr>
          <w:p w14:paraId="0D13D97C" w14:textId="77777777" w:rsidR="006F0329" w:rsidRPr="00251FEA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D8B16A1" w14:textId="77777777" w:rsidR="006F0329" w:rsidRPr="00251FEA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6"/>
          </w:tcPr>
          <w:p w14:paraId="6BEFFB3F" w14:textId="77777777" w:rsidR="006F0329" w:rsidRPr="00251FEA" w:rsidRDefault="00501437" w:rsidP="005014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 xml:space="preserve">- uzyskanie określonych w programie studiów efektów uczenia się i wymaganych 90 punktów ECTS, </w:t>
            </w:r>
          </w:p>
          <w:p w14:paraId="70869B24" w14:textId="77777777" w:rsidR="00501437" w:rsidRPr="00251FEA" w:rsidRDefault="00501437" w:rsidP="005014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-złożenie pracy dyplomowej magisterskiej</w:t>
            </w:r>
          </w:p>
          <w:p w14:paraId="76FAACA2" w14:textId="77777777" w:rsidR="00501437" w:rsidRPr="00251FEA" w:rsidRDefault="00501437" w:rsidP="005014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51FEA">
              <w:rPr>
                <w:rFonts w:ascii="Corbel" w:hAnsi="Corbel"/>
                <w:sz w:val="24"/>
                <w:szCs w:val="24"/>
              </w:rPr>
              <w:t>- z</w:t>
            </w:r>
            <w:r w:rsidR="00FD153E" w:rsidRPr="00251FEA">
              <w:rPr>
                <w:rFonts w:ascii="Corbel" w:hAnsi="Corbel"/>
                <w:sz w:val="24"/>
                <w:szCs w:val="24"/>
              </w:rPr>
              <w:t>łożenie</w:t>
            </w:r>
            <w:r w:rsidRPr="00251FEA">
              <w:rPr>
                <w:rFonts w:ascii="Corbel" w:hAnsi="Corbel"/>
                <w:sz w:val="24"/>
                <w:szCs w:val="24"/>
              </w:rPr>
              <w:t xml:space="preserve"> egzaminu dyplomowego.</w:t>
            </w:r>
          </w:p>
        </w:tc>
      </w:tr>
      <w:tr w:rsidR="00251FEA" w:rsidRPr="00251FEA" w14:paraId="5C075FEF" w14:textId="77777777" w:rsidTr="005B4C0E">
        <w:tc>
          <w:tcPr>
            <w:tcW w:w="10031" w:type="dxa"/>
            <w:gridSpan w:val="10"/>
          </w:tcPr>
          <w:p w14:paraId="5171F081" w14:textId="77777777" w:rsidR="006F0329" w:rsidRPr="00251FEA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1B245617" w14:textId="77777777" w:rsidR="006F0329" w:rsidRPr="00251FEA" w:rsidRDefault="006F0329" w:rsidP="005B4C0E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51FE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251FEA" w:rsidRPr="00251FEA" w14:paraId="28990F57" w14:textId="77777777" w:rsidTr="00857D4E">
        <w:trPr>
          <w:trHeight w:val="608"/>
        </w:trPr>
        <w:tc>
          <w:tcPr>
            <w:tcW w:w="501" w:type="dxa"/>
            <w:vMerge w:val="restart"/>
            <w:vAlign w:val="center"/>
          </w:tcPr>
          <w:p w14:paraId="21F83AC7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 w14:paraId="4AF3ADCC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15F4C38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3FFBC368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14:paraId="38843610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431ADB7B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7862C516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2FE12B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964" w:type="dxa"/>
            <w:vMerge w:val="restart"/>
            <w:vAlign w:val="center"/>
          </w:tcPr>
          <w:p w14:paraId="47DDF1FB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251FEA" w:rsidRPr="00251FEA" w14:paraId="62E7394F" w14:textId="77777777" w:rsidTr="00857D4E">
        <w:trPr>
          <w:trHeight w:val="607"/>
        </w:trPr>
        <w:tc>
          <w:tcPr>
            <w:tcW w:w="501" w:type="dxa"/>
            <w:vMerge/>
            <w:vAlign w:val="center"/>
          </w:tcPr>
          <w:p w14:paraId="12EE46B6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vMerge/>
            <w:vAlign w:val="center"/>
          </w:tcPr>
          <w:p w14:paraId="5A1B803E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C13B957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BA313F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r w:rsidR="003A68D4" w:rsidRPr="00251FEA">
              <w:rPr>
                <w:rFonts w:ascii="Corbel" w:hAnsi="Corbel" w:cs="TimesNewRomanPSMT"/>
                <w:sz w:val="20"/>
                <w:szCs w:val="20"/>
              </w:rPr>
              <w:t>S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tacj</w:t>
            </w:r>
            <w:r w:rsidR="00E647AD" w:rsidRPr="00251FEA">
              <w:rPr>
                <w:rFonts w:ascii="Corbel" w:hAnsi="Corbel" w:cs="TimesNewRomanPSMT"/>
                <w:sz w:val="20"/>
                <w:szCs w:val="20"/>
              </w:rPr>
              <w:t>o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100146E" w14:textId="77777777" w:rsidR="006F0329" w:rsidRPr="00251FEA" w:rsidRDefault="003A68D4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S</w:t>
            </w:r>
            <w:r w:rsidR="006F0329" w:rsidRPr="00251FEA">
              <w:rPr>
                <w:rFonts w:ascii="Corbel" w:hAnsi="Corbel" w:cs="TimesNewRomanPSMT"/>
                <w:sz w:val="20"/>
                <w:szCs w:val="20"/>
              </w:rPr>
              <w:t>t</w:t>
            </w:r>
            <w:r w:rsidR="006B7B49"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  <w:r w:rsidR="006F0329" w:rsidRPr="00251FEA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Pr="00251FEA">
              <w:rPr>
                <w:rFonts w:ascii="Corbel" w:hAnsi="Corbel" w:cs="TimesNewRomanPSMT"/>
                <w:sz w:val="20"/>
                <w:szCs w:val="20"/>
              </w:rPr>
              <w:t>N</w:t>
            </w:r>
            <w:r w:rsidR="006F0329" w:rsidRPr="00251FEA">
              <w:rPr>
                <w:rFonts w:ascii="Corbel" w:hAnsi="Corbel" w:cs="TimesNewRomanPSMT"/>
                <w:sz w:val="20"/>
                <w:szCs w:val="20"/>
              </w:rPr>
              <w:t>iest</w:t>
            </w:r>
            <w:r w:rsidR="00192B85" w:rsidRPr="00251FEA">
              <w:rPr>
                <w:rFonts w:ascii="Corbel" w:hAnsi="Corbel" w:cs="TimesNewRomanPSMT"/>
                <w:sz w:val="20"/>
                <w:szCs w:val="20"/>
              </w:rPr>
              <w:t>a</w:t>
            </w:r>
            <w:proofErr w:type="spellEnd"/>
            <w:r w:rsidR="006F0329"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3B1C91EF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</w:tcPr>
          <w:p w14:paraId="52174CB9" w14:textId="77777777" w:rsidR="006F0329" w:rsidRPr="00251FEA" w:rsidRDefault="006F0329" w:rsidP="005B4C0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251FEA" w:rsidRPr="00251FEA" w14:paraId="04B70452" w14:textId="77777777" w:rsidTr="005B4C0E">
        <w:trPr>
          <w:trHeight w:val="227"/>
        </w:trPr>
        <w:tc>
          <w:tcPr>
            <w:tcW w:w="10031" w:type="dxa"/>
            <w:gridSpan w:val="10"/>
          </w:tcPr>
          <w:p w14:paraId="5B8E7F50" w14:textId="77777777" w:rsidR="006F0329" w:rsidRPr="00251FEA" w:rsidRDefault="006F0329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Przedmioty </w:t>
            </w:r>
            <w:r w:rsidR="000A3E74" w:rsidRPr="00251FEA">
              <w:rPr>
                <w:rFonts w:ascii="Corbel" w:hAnsi="Corbel" w:cs="TimesNewRomanPSMT"/>
              </w:rPr>
              <w:t>podstawowe</w:t>
            </w:r>
          </w:p>
        </w:tc>
      </w:tr>
      <w:tr w:rsidR="00251FEA" w:rsidRPr="00251FEA" w14:paraId="66AB83FC" w14:textId="77777777" w:rsidTr="00857D4E">
        <w:trPr>
          <w:trHeight w:val="227"/>
        </w:trPr>
        <w:tc>
          <w:tcPr>
            <w:tcW w:w="501" w:type="dxa"/>
          </w:tcPr>
          <w:p w14:paraId="7C2D729C" w14:textId="77777777" w:rsidR="006F0329" w:rsidRPr="00251FEA" w:rsidRDefault="00166A11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</w:t>
            </w:r>
            <w:r w:rsidR="00707E4C" w:rsidRPr="00251FEA">
              <w:rPr>
                <w:rFonts w:ascii="Corbel" w:hAnsi="Corbel" w:cs="TimesNewRomanPSMT"/>
              </w:rPr>
              <w:t>.</w:t>
            </w:r>
          </w:p>
        </w:tc>
        <w:tc>
          <w:tcPr>
            <w:tcW w:w="3180" w:type="dxa"/>
            <w:gridSpan w:val="2"/>
          </w:tcPr>
          <w:p w14:paraId="7692CD0B" w14:textId="77777777" w:rsidR="006F0329" w:rsidRPr="00251FEA" w:rsidRDefault="00EC54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Badania naukowe w logistyce</w:t>
            </w:r>
          </w:p>
        </w:tc>
        <w:tc>
          <w:tcPr>
            <w:tcW w:w="1984" w:type="dxa"/>
            <w:gridSpan w:val="2"/>
          </w:tcPr>
          <w:p w14:paraId="78D1214B" w14:textId="77777777" w:rsidR="006F0329" w:rsidRPr="00251FEA" w:rsidRDefault="00ED1B16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K_W07, K_U01, K_U02, K_U03, K_K01</w:t>
            </w:r>
          </w:p>
        </w:tc>
        <w:tc>
          <w:tcPr>
            <w:tcW w:w="1134" w:type="dxa"/>
            <w:vAlign w:val="center"/>
          </w:tcPr>
          <w:p w14:paraId="09F735A8" w14:textId="1AE2AFA3" w:rsidR="006F0329" w:rsidRPr="00251FEA" w:rsidRDefault="003A68D4" w:rsidP="00D162B1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6BD227CC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784DBF08" w14:textId="77777777" w:rsidR="006F0329" w:rsidRPr="00251FEA" w:rsidRDefault="00E4425A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59A694E9" w14:textId="5B8257EF" w:rsidR="006F0329" w:rsidRPr="00251FEA" w:rsidRDefault="003A68D4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7C6A5E89" w14:textId="77777777" w:rsidTr="00857D4E">
        <w:trPr>
          <w:trHeight w:val="227"/>
        </w:trPr>
        <w:tc>
          <w:tcPr>
            <w:tcW w:w="501" w:type="dxa"/>
          </w:tcPr>
          <w:p w14:paraId="5CF3567A" w14:textId="77777777" w:rsidR="006F0329" w:rsidRPr="00251FEA" w:rsidRDefault="00166A11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2.</w:t>
            </w:r>
          </w:p>
        </w:tc>
        <w:tc>
          <w:tcPr>
            <w:tcW w:w="3180" w:type="dxa"/>
            <w:gridSpan w:val="2"/>
          </w:tcPr>
          <w:p w14:paraId="7E4970CA" w14:textId="77777777" w:rsidR="006F0329" w:rsidRPr="00251FEA" w:rsidRDefault="00707E4C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Europejska polityka transportowa</w:t>
            </w:r>
          </w:p>
        </w:tc>
        <w:tc>
          <w:tcPr>
            <w:tcW w:w="1984" w:type="dxa"/>
            <w:gridSpan w:val="2"/>
          </w:tcPr>
          <w:p w14:paraId="6278F9DB" w14:textId="1F9F9915" w:rsidR="006F0329" w:rsidRPr="00251FEA" w:rsidRDefault="00ED1B16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K_W09, K_W11,</w:t>
            </w:r>
            <w:r w:rsidR="00801DDC" w:rsidRPr="00251FEA">
              <w:rPr>
                <w:rFonts w:ascii="Corbel" w:hAnsi="Corbel"/>
              </w:rPr>
              <w:t xml:space="preserve"> K_W12,</w:t>
            </w:r>
            <w:r w:rsidRPr="00251FEA">
              <w:rPr>
                <w:rFonts w:ascii="Corbel" w:hAnsi="Corbel"/>
              </w:rPr>
              <w:t xml:space="preserve"> K_U01, K_U03, </w:t>
            </w:r>
            <w:r w:rsidR="00801DDC" w:rsidRPr="00251FEA">
              <w:rPr>
                <w:rFonts w:ascii="Corbel" w:hAnsi="Corbel"/>
              </w:rPr>
              <w:t xml:space="preserve">K_U09, </w:t>
            </w:r>
            <w:r w:rsidRPr="00251FEA">
              <w:rPr>
                <w:rFonts w:ascii="Corbel" w:hAnsi="Corbel"/>
              </w:rPr>
              <w:t>K_K03</w:t>
            </w:r>
          </w:p>
        </w:tc>
        <w:tc>
          <w:tcPr>
            <w:tcW w:w="1134" w:type="dxa"/>
            <w:vAlign w:val="center"/>
          </w:tcPr>
          <w:p w14:paraId="561625CB" w14:textId="77777777" w:rsidR="006F0329" w:rsidRPr="00251FEA" w:rsidRDefault="00E4425A" w:rsidP="00D162B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AB4B16B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71071316" w14:textId="77777777" w:rsidR="006F0329" w:rsidRPr="00251FEA" w:rsidRDefault="00E4425A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37741C31" w14:textId="77777777" w:rsidR="006F0329" w:rsidRPr="00251FEA" w:rsidRDefault="005401EE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707A4E72" w14:textId="77777777" w:rsidTr="00857D4E">
        <w:trPr>
          <w:trHeight w:val="227"/>
        </w:trPr>
        <w:tc>
          <w:tcPr>
            <w:tcW w:w="501" w:type="dxa"/>
          </w:tcPr>
          <w:p w14:paraId="17B9ACB3" w14:textId="77777777" w:rsidR="00EC54E8" w:rsidRPr="00251FEA" w:rsidRDefault="00166A11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3</w:t>
            </w:r>
            <w:r w:rsidR="00EC54E8" w:rsidRPr="00251FEA">
              <w:rPr>
                <w:rFonts w:ascii="Corbel" w:hAnsi="Corbel" w:cs="TimesNewRomanPSMT"/>
              </w:rPr>
              <w:t>.</w:t>
            </w:r>
          </w:p>
        </w:tc>
        <w:tc>
          <w:tcPr>
            <w:tcW w:w="3180" w:type="dxa"/>
            <w:gridSpan w:val="2"/>
          </w:tcPr>
          <w:p w14:paraId="49231D7A" w14:textId="77777777" w:rsidR="00EC54E8" w:rsidRPr="00251FEA" w:rsidRDefault="00EC54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Prawo i ubezpieczenia w transporcie</w:t>
            </w:r>
          </w:p>
        </w:tc>
        <w:tc>
          <w:tcPr>
            <w:tcW w:w="1984" w:type="dxa"/>
            <w:gridSpan w:val="2"/>
          </w:tcPr>
          <w:p w14:paraId="632EB1FA" w14:textId="1D9676C7" w:rsidR="00EC54E8" w:rsidRPr="00251FEA" w:rsidRDefault="00844129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K_W10, </w:t>
            </w:r>
            <w:r w:rsidR="00801DDC" w:rsidRPr="00251FEA">
              <w:rPr>
                <w:rFonts w:ascii="Corbel" w:hAnsi="Corbel"/>
              </w:rPr>
              <w:t xml:space="preserve">K_W11, </w:t>
            </w:r>
            <w:r w:rsidR="00ED1B16" w:rsidRPr="00251FEA">
              <w:rPr>
                <w:rFonts w:ascii="Corbel" w:hAnsi="Corbel"/>
              </w:rPr>
              <w:t>K_W12</w:t>
            </w:r>
          </w:p>
        </w:tc>
        <w:tc>
          <w:tcPr>
            <w:tcW w:w="1134" w:type="dxa"/>
            <w:vAlign w:val="center"/>
          </w:tcPr>
          <w:p w14:paraId="116EA9CD" w14:textId="77777777" w:rsidR="00EC54E8" w:rsidRPr="00251FEA" w:rsidRDefault="00733B70" w:rsidP="00D162B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5D74D91D" w14:textId="77777777" w:rsidR="00EC54E8" w:rsidRPr="00251FEA" w:rsidRDefault="00EC54E8" w:rsidP="005B4C0E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6BA1DDA" w14:textId="77777777" w:rsidR="00EC54E8" w:rsidRPr="00251FEA" w:rsidRDefault="00D162B1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0D1818C1" w14:textId="77777777" w:rsidR="00EC54E8" w:rsidRPr="00251FEA" w:rsidRDefault="00733B70" w:rsidP="00E4425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</w:t>
            </w:r>
          </w:p>
        </w:tc>
      </w:tr>
      <w:tr w:rsidR="00251FEA" w:rsidRPr="00251FEA" w14:paraId="051CBF0F" w14:textId="77777777" w:rsidTr="00857D4E">
        <w:trPr>
          <w:trHeight w:val="227"/>
        </w:trPr>
        <w:tc>
          <w:tcPr>
            <w:tcW w:w="501" w:type="dxa"/>
          </w:tcPr>
          <w:p w14:paraId="1F205D4F" w14:textId="77777777" w:rsidR="00EC54E8" w:rsidRPr="00251FEA" w:rsidRDefault="00166A11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4</w:t>
            </w:r>
            <w:r w:rsidR="00EC54E8" w:rsidRPr="00251FEA">
              <w:rPr>
                <w:rFonts w:ascii="Corbel" w:hAnsi="Corbel" w:cs="TimesNewRomanPSMT"/>
              </w:rPr>
              <w:t>.</w:t>
            </w:r>
          </w:p>
        </w:tc>
        <w:tc>
          <w:tcPr>
            <w:tcW w:w="3180" w:type="dxa"/>
            <w:gridSpan w:val="2"/>
          </w:tcPr>
          <w:p w14:paraId="37A856C6" w14:textId="77777777" w:rsidR="00EC54E8" w:rsidRPr="00251FEA" w:rsidRDefault="00EC54E8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Język obcy</w:t>
            </w:r>
          </w:p>
        </w:tc>
        <w:tc>
          <w:tcPr>
            <w:tcW w:w="1984" w:type="dxa"/>
            <w:gridSpan w:val="2"/>
          </w:tcPr>
          <w:p w14:paraId="5015B0D0" w14:textId="77777777" w:rsidR="00EC54E8" w:rsidRPr="00251FEA" w:rsidRDefault="00ED1B16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K_U08, K_U09</w:t>
            </w:r>
          </w:p>
        </w:tc>
        <w:tc>
          <w:tcPr>
            <w:tcW w:w="1134" w:type="dxa"/>
          </w:tcPr>
          <w:p w14:paraId="6B2CEEF5" w14:textId="77777777" w:rsidR="00EC54E8" w:rsidRPr="00251FEA" w:rsidRDefault="00120614" w:rsidP="00D162B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</w:tcPr>
          <w:p w14:paraId="35D80D36" w14:textId="77777777" w:rsidR="00EC54E8" w:rsidRPr="00251FEA" w:rsidRDefault="00EC54E8" w:rsidP="005B4C0E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134" w:type="dxa"/>
          </w:tcPr>
          <w:p w14:paraId="3C7FB326" w14:textId="77777777" w:rsidR="00EC54E8" w:rsidRPr="00251FEA" w:rsidRDefault="00D24132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E</w:t>
            </w:r>
          </w:p>
        </w:tc>
        <w:tc>
          <w:tcPr>
            <w:tcW w:w="964" w:type="dxa"/>
          </w:tcPr>
          <w:p w14:paraId="0A088D2D" w14:textId="77777777" w:rsidR="00EC54E8" w:rsidRPr="00251FEA" w:rsidRDefault="00D24132" w:rsidP="00E4425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4</w:t>
            </w:r>
          </w:p>
        </w:tc>
      </w:tr>
      <w:tr w:rsidR="00251FEA" w:rsidRPr="00251FEA" w14:paraId="7AD5E8BD" w14:textId="77777777" w:rsidTr="00857D4E">
        <w:trPr>
          <w:trHeight w:val="227"/>
        </w:trPr>
        <w:tc>
          <w:tcPr>
            <w:tcW w:w="501" w:type="dxa"/>
          </w:tcPr>
          <w:p w14:paraId="3ADA4F68" w14:textId="77777777" w:rsidR="00707E4C" w:rsidRPr="00251FEA" w:rsidRDefault="00166A11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5.</w:t>
            </w:r>
          </w:p>
        </w:tc>
        <w:tc>
          <w:tcPr>
            <w:tcW w:w="3180" w:type="dxa"/>
            <w:gridSpan w:val="2"/>
          </w:tcPr>
          <w:p w14:paraId="64252205" w14:textId="77777777" w:rsidR="00707E4C" w:rsidRPr="00251FEA" w:rsidRDefault="00DA4AE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Przedmiot ogólnouczelniany</w:t>
            </w:r>
          </w:p>
        </w:tc>
        <w:tc>
          <w:tcPr>
            <w:tcW w:w="1984" w:type="dxa"/>
            <w:gridSpan w:val="2"/>
          </w:tcPr>
          <w:p w14:paraId="7F970077" w14:textId="77777777" w:rsidR="00707E4C" w:rsidRPr="00251FEA" w:rsidRDefault="00707E4C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14:paraId="5EF9CF96" w14:textId="77777777" w:rsidR="00707E4C" w:rsidRPr="00251FEA" w:rsidRDefault="00DA4AEB" w:rsidP="00D162B1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</w:tcPr>
          <w:p w14:paraId="309D9F29" w14:textId="77777777" w:rsidR="00707E4C" w:rsidRPr="00251FEA" w:rsidRDefault="00707E4C" w:rsidP="005B4C0E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</w:tc>
        <w:tc>
          <w:tcPr>
            <w:tcW w:w="1134" w:type="dxa"/>
          </w:tcPr>
          <w:p w14:paraId="29EFB06D" w14:textId="77777777" w:rsidR="00707E4C" w:rsidRPr="00251FEA" w:rsidRDefault="00E4425A" w:rsidP="00E4425A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</w:t>
            </w:r>
          </w:p>
        </w:tc>
        <w:tc>
          <w:tcPr>
            <w:tcW w:w="964" w:type="dxa"/>
          </w:tcPr>
          <w:p w14:paraId="6B5018D7" w14:textId="77777777" w:rsidR="00707E4C" w:rsidRPr="00251FEA" w:rsidRDefault="00E4425A" w:rsidP="00E4425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2</w:t>
            </w:r>
          </w:p>
        </w:tc>
      </w:tr>
      <w:tr w:rsidR="00251FEA" w:rsidRPr="00251FEA" w14:paraId="790AAB52" w14:textId="77777777" w:rsidTr="00857D4E">
        <w:trPr>
          <w:trHeight w:val="227"/>
        </w:trPr>
        <w:tc>
          <w:tcPr>
            <w:tcW w:w="501" w:type="dxa"/>
          </w:tcPr>
          <w:p w14:paraId="7B4E8594" w14:textId="77777777" w:rsidR="00DA4AEB" w:rsidRPr="00251FEA" w:rsidRDefault="00DA4AE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3180" w:type="dxa"/>
            <w:gridSpan w:val="2"/>
          </w:tcPr>
          <w:p w14:paraId="0E6786C4" w14:textId="77777777" w:rsidR="00DA4AEB" w:rsidRPr="00251FEA" w:rsidRDefault="00DA4AEB" w:rsidP="005B4C0E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1984" w:type="dxa"/>
            <w:gridSpan w:val="2"/>
          </w:tcPr>
          <w:p w14:paraId="34A9B464" w14:textId="77777777" w:rsidR="00DA4AEB" w:rsidRPr="00251FEA" w:rsidRDefault="00DA4AEB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14:paraId="6D7A3A17" w14:textId="0DAAA27E" w:rsidR="00DA4AEB" w:rsidRPr="00251FEA" w:rsidRDefault="00DA4AEB" w:rsidP="008B2E0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</w:t>
            </w:r>
            <w:r w:rsidR="00FF2A9D" w:rsidRPr="00251FEA">
              <w:rPr>
                <w:rFonts w:ascii="Corbel" w:hAnsi="Corbel" w:cs="TimesNewRomanPSMT"/>
              </w:rPr>
              <w:t xml:space="preserve"> </w:t>
            </w:r>
            <w:r w:rsidR="00294412" w:rsidRPr="00251FEA">
              <w:rPr>
                <w:rFonts w:ascii="Corbel" w:hAnsi="Corbel" w:cs="TimesNewRomanPSMT"/>
              </w:rPr>
              <w:t>155</w:t>
            </w:r>
          </w:p>
        </w:tc>
        <w:tc>
          <w:tcPr>
            <w:tcW w:w="1134" w:type="dxa"/>
            <w:gridSpan w:val="2"/>
          </w:tcPr>
          <w:p w14:paraId="0513756D" w14:textId="77777777" w:rsidR="00DA4AEB" w:rsidRPr="00251FEA" w:rsidRDefault="00DA4AEB" w:rsidP="005B4C0E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</w:tcPr>
          <w:p w14:paraId="568C8DD2" w14:textId="77777777" w:rsidR="00DA4AEB" w:rsidRPr="00251FEA" w:rsidRDefault="00DA4AEB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964" w:type="dxa"/>
          </w:tcPr>
          <w:p w14:paraId="6929861B" w14:textId="662885F3" w:rsidR="00DA4AEB" w:rsidRPr="00251FEA" w:rsidRDefault="00DA4AEB" w:rsidP="00E4425A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</w:t>
            </w:r>
            <w:r w:rsidR="00FF2A9D" w:rsidRPr="00251FEA">
              <w:rPr>
                <w:rFonts w:ascii="Corbel" w:hAnsi="Corbel" w:cs="TimesNewRomanPSMT"/>
              </w:rPr>
              <w:t xml:space="preserve"> </w:t>
            </w:r>
            <w:r w:rsidR="003A68D4" w:rsidRPr="00251FEA">
              <w:rPr>
                <w:rFonts w:ascii="Corbel" w:hAnsi="Corbel" w:cs="TimesNewRomanPSMT"/>
              </w:rPr>
              <w:t>12</w:t>
            </w:r>
          </w:p>
        </w:tc>
      </w:tr>
      <w:tr w:rsidR="00251FEA" w:rsidRPr="00251FEA" w14:paraId="33E8BDCF" w14:textId="77777777" w:rsidTr="005B4C0E">
        <w:trPr>
          <w:trHeight w:val="227"/>
        </w:trPr>
        <w:tc>
          <w:tcPr>
            <w:tcW w:w="10031" w:type="dxa"/>
            <w:gridSpan w:val="10"/>
          </w:tcPr>
          <w:p w14:paraId="295B701C" w14:textId="77777777" w:rsidR="006F0329" w:rsidRPr="00251FEA" w:rsidRDefault="006F0329" w:rsidP="005B4C0E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Grupa przedmiotów kierunkowych</w:t>
            </w:r>
          </w:p>
        </w:tc>
      </w:tr>
      <w:tr w:rsidR="00251FEA" w:rsidRPr="00251FEA" w14:paraId="67AE5BBD" w14:textId="77777777" w:rsidTr="00857D4E">
        <w:trPr>
          <w:trHeight w:val="227"/>
        </w:trPr>
        <w:tc>
          <w:tcPr>
            <w:tcW w:w="501" w:type="dxa"/>
          </w:tcPr>
          <w:p w14:paraId="02C68DA9" w14:textId="77777777" w:rsidR="000F2572" w:rsidRPr="00251FEA" w:rsidRDefault="003E164D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lastRenderedPageBreak/>
              <w:t>6.</w:t>
            </w:r>
          </w:p>
        </w:tc>
        <w:tc>
          <w:tcPr>
            <w:tcW w:w="3180" w:type="dxa"/>
            <w:gridSpan w:val="2"/>
          </w:tcPr>
          <w:p w14:paraId="16354F9C" w14:textId="77777777" w:rsidR="000F2572" w:rsidRPr="00251FEA" w:rsidRDefault="000F2572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Nowe trendy w produkcji </w:t>
            </w:r>
            <w:r w:rsidR="006F7591" w:rsidRPr="00251FEA">
              <w:rPr>
                <w:rFonts w:ascii="Corbel" w:hAnsi="Corbel" w:cs="TimesNewRomanPSMT"/>
              </w:rPr>
              <w:br/>
            </w:r>
            <w:r w:rsidRPr="00251FEA">
              <w:rPr>
                <w:rFonts w:ascii="Corbel" w:hAnsi="Corbel" w:cs="TimesNewRomanPSMT"/>
              </w:rPr>
              <w:t>i przechowalnictwie żywności</w:t>
            </w:r>
          </w:p>
        </w:tc>
        <w:tc>
          <w:tcPr>
            <w:tcW w:w="1984" w:type="dxa"/>
            <w:gridSpan w:val="2"/>
          </w:tcPr>
          <w:p w14:paraId="163BC488" w14:textId="713974B9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K_W03, K_W05, K_W06, </w:t>
            </w:r>
            <w:r w:rsidR="00801DDC" w:rsidRPr="00251FEA">
              <w:rPr>
                <w:rFonts w:ascii="Corbel" w:hAnsi="Corbel"/>
              </w:rPr>
              <w:t xml:space="preserve">K_U01, K_U04, </w:t>
            </w:r>
            <w:r w:rsidRPr="00251FEA">
              <w:rPr>
                <w:rFonts w:ascii="Corbel" w:hAnsi="Corbel"/>
              </w:rPr>
              <w:t>K_U07, K_K01</w:t>
            </w:r>
          </w:p>
        </w:tc>
        <w:tc>
          <w:tcPr>
            <w:tcW w:w="1134" w:type="dxa"/>
            <w:vAlign w:val="center"/>
          </w:tcPr>
          <w:p w14:paraId="0DEF4A02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FF6F5D6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041D4AE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6888EB0E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5DBAD9FD" w14:textId="77777777" w:rsidTr="00857D4E">
        <w:trPr>
          <w:trHeight w:val="227"/>
        </w:trPr>
        <w:tc>
          <w:tcPr>
            <w:tcW w:w="501" w:type="dxa"/>
          </w:tcPr>
          <w:p w14:paraId="270251D4" w14:textId="77777777" w:rsidR="000F2572" w:rsidRPr="00251FEA" w:rsidRDefault="003E164D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7.</w:t>
            </w:r>
          </w:p>
        </w:tc>
        <w:tc>
          <w:tcPr>
            <w:tcW w:w="3180" w:type="dxa"/>
            <w:gridSpan w:val="2"/>
          </w:tcPr>
          <w:p w14:paraId="1F0A08A3" w14:textId="77777777" w:rsidR="000F2572" w:rsidRPr="00251FEA" w:rsidRDefault="000F2572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Logistyka w produkcji roślinnej</w:t>
            </w:r>
          </w:p>
        </w:tc>
        <w:tc>
          <w:tcPr>
            <w:tcW w:w="1984" w:type="dxa"/>
            <w:gridSpan w:val="2"/>
          </w:tcPr>
          <w:p w14:paraId="5EFA07CA" w14:textId="3BA7B4BD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K_W04, K_U02, </w:t>
            </w:r>
            <w:r w:rsidR="00801DDC" w:rsidRPr="00251FEA">
              <w:rPr>
                <w:rFonts w:ascii="Corbel" w:hAnsi="Corbel"/>
              </w:rPr>
              <w:t xml:space="preserve">K_U05, </w:t>
            </w:r>
            <w:r w:rsidRPr="00251FEA">
              <w:rPr>
                <w:rFonts w:ascii="Corbel" w:hAnsi="Corbel"/>
              </w:rPr>
              <w:t>K_U06, K_K02</w:t>
            </w:r>
          </w:p>
        </w:tc>
        <w:tc>
          <w:tcPr>
            <w:tcW w:w="1134" w:type="dxa"/>
            <w:vAlign w:val="center"/>
          </w:tcPr>
          <w:p w14:paraId="3909C186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46521629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628EC9F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7B0A85C5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3F99D8D7" w14:textId="77777777" w:rsidTr="00857D4E">
        <w:trPr>
          <w:trHeight w:val="227"/>
        </w:trPr>
        <w:tc>
          <w:tcPr>
            <w:tcW w:w="501" w:type="dxa"/>
          </w:tcPr>
          <w:p w14:paraId="6449AFD3" w14:textId="77777777" w:rsidR="000F2572" w:rsidRPr="00251FEA" w:rsidRDefault="003E164D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8.</w:t>
            </w:r>
          </w:p>
        </w:tc>
        <w:tc>
          <w:tcPr>
            <w:tcW w:w="3180" w:type="dxa"/>
            <w:gridSpan w:val="2"/>
          </w:tcPr>
          <w:p w14:paraId="79EB2796" w14:textId="77777777" w:rsidR="000F2572" w:rsidRPr="00251FEA" w:rsidRDefault="000F2572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Logistyka w sektorze produkcji zwierzęcej</w:t>
            </w:r>
          </w:p>
        </w:tc>
        <w:tc>
          <w:tcPr>
            <w:tcW w:w="1984" w:type="dxa"/>
            <w:gridSpan w:val="2"/>
          </w:tcPr>
          <w:p w14:paraId="4D5AA1F3" w14:textId="2BCD7AFF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K_W06, k_U02, K_U05, K_U06, K_K02</w:t>
            </w:r>
          </w:p>
        </w:tc>
        <w:tc>
          <w:tcPr>
            <w:tcW w:w="1134" w:type="dxa"/>
            <w:vAlign w:val="center"/>
          </w:tcPr>
          <w:p w14:paraId="2903B5E1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0E6540F9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D7A47D4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372272C6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679B192E" w14:textId="77777777" w:rsidTr="00857D4E">
        <w:trPr>
          <w:trHeight w:val="227"/>
        </w:trPr>
        <w:tc>
          <w:tcPr>
            <w:tcW w:w="501" w:type="dxa"/>
          </w:tcPr>
          <w:p w14:paraId="0C2091D1" w14:textId="77777777" w:rsidR="000F2572" w:rsidRPr="00251FEA" w:rsidRDefault="003E164D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9.</w:t>
            </w:r>
          </w:p>
        </w:tc>
        <w:tc>
          <w:tcPr>
            <w:tcW w:w="3180" w:type="dxa"/>
            <w:gridSpan w:val="2"/>
          </w:tcPr>
          <w:p w14:paraId="5886AD01" w14:textId="77777777" w:rsidR="000F2572" w:rsidRPr="00251FEA" w:rsidRDefault="000F2572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Rachunek kosztów dla logistyków</w:t>
            </w:r>
          </w:p>
        </w:tc>
        <w:tc>
          <w:tcPr>
            <w:tcW w:w="1984" w:type="dxa"/>
            <w:gridSpan w:val="2"/>
          </w:tcPr>
          <w:p w14:paraId="41A7F467" w14:textId="673F5362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K_W02, K_W03, K_W04, K_W11, </w:t>
            </w:r>
            <w:r w:rsidR="00801DDC" w:rsidRPr="00251FEA">
              <w:rPr>
                <w:rFonts w:ascii="Corbel" w:hAnsi="Corbel"/>
              </w:rPr>
              <w:t xml:space="preserve">K_U03, K_U04, </w:t>
            </w:r>
            <w:r w:rsidRPr="00251FEA">
              <w:rPr>
                <w:rFonts w:ascii="Corbel" w:hAnsi="Corbel"/>
              </w:rPr>
              <w:t>K_U05, K_K01</w:t>
            </w:r>
          </w:p>
        </w:tc>
        <w:tc>
          <w:tcPr>
            <w:tcW w:w="1134" w:type="dxa"/>
            <w:vAlign w:val="center"/>
          </w:tcPr>
          <w:p w14:paraId="6357E29E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3D9DA103" w14:textId="77777777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336D338" w14:textId="310723E8" w:rsidR="000F2572" w:rsidRPr="00251FEA" w:rsidRDefault="003A68D4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4951F119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13F82438" w14:textId="77777777" w:rsidTr="00857D4E">
        <w:trPr>
          <w:trHeight w:val="227"/>
        </w:trPr>
        <w:tc>
          <w:tcPr>
            <w:tcW w:w="501" w:type="dxa"/>
          </w:tcPr>
          <w:p w14:paraId="4421F664" w14:textId="77777777" w:rsidR="000F2572" w:rsidRPr="00251FEA" w:rsidRDefault="003E164D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10.</w:t>
            </w:r>
          </w:p>
        </w:tc>
        <w:tc>
          <w:tcPr>
            <w:tcW w:w="3180" w:type="dxa"/>
            <w:gridSpan w:val="2"/>
          </w:tcPr>
          <w:p w14:paraId="65F63DC2" w14:textId="77777777" w:rsidR="000F2572" w:rsidRPr="00251FEA" w:rsidRDefault="000F2572" w:rsidP="000F2572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Systemy informatyczne </w:t>
            </w:r>
            <w:r w:rsidR="006F7591" w:rsidRPr="00251FEA">
              <w:rPr>
                <w:rFonts w:ascii="Corbel" w:hAnsi="Corbel" w:cs="TimesNewRomanPSMT"/>
              </w:rPr>
              <w:br/>
            </w:r>
            <w:r w:rsidRPr="00251FEA">
              <w:rPr>
                <w:rFonts w:ascii="Corbel" w:hAnsi="Corbel" w:cs="TimesNewRomanPSMT"/>
              </w:rPr>
              <w:t>w gospodarce magazynowej</w:t>
            </w:r>
          </w:p>
        </w:tc>
        <w:tc>
          <w:tcPr>
            <w:tcW w:w="1984" w:type="dxa"/>
            <w:gridSpan w:val="2"/>
          </w:tcPr>
          <w:p w14:paraId="32AC16BE" w14:textId="77777777" w:rsidR="000F2572" w:rsidRPr="00251FEA" w:rsidRDefault="000F2572" w:rsidP="000F2572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K_W01, K_W04, K_W05, K_U05, K_U07, K_K03, K_K05</w:t>
            </w:r>
          </w:p>
        </w:tc>
        <w:tc>
          <w:tcPr>
            <w:tcW w:w="1134" w:type="dxa"/>
            <w:vAlign w:val="center"/>
          </w:tcPr>
          <w:p w14:paraId="0EF133A5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656F265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09DE208" w14:textId="77777777" w:rsidR="000F2572" w:rsidRPr="00251FEA" w:rsidRDefault="000F2572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E</w:t>
            </w:r>
          </w:p>
        </w:tc>
        <w:tc>
          <w:tcPr>
            <w:tcW w:w="964" w:type="dxa"/>
            <w:vAlign w:val="center"/>
          </w:tcPr>
          <w:p w14:paraId="23F548D7" w14:textId="0E8AB87F" w:rsidR="000F2572" w:rsidRPr="00251FEA" w:rsidRDefault="003A68D4" w:rsidP="000F2572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47F3F41F" w14:textId="77777777" w:rsidTr="00857D4E">
        <w:trPr>
          <w:trHeight w:val="227"/>
        </w:trPr>
        <w:tc>
          <w:tcPr>
            <w:tcW w:w="501" w:type="dxa"/>
          </w:tcPr>
          <w:p w14:paraId="31923017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11.</w:t>
            </w:r>
          </w:p>
        </w:tc>
        <w:tc>
          <w:tcPr>
            <w:tcW w:w="3180" w:type="dxa"/>
            <w:gridSpan w:val="2"/>
          </w:tcPr>
          <w:p w14:paraId="504BC197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Arkusz kalkulacyjny </w:t>
            </w:r>
            <w:r w:rsidR="006F7591" w:rsidRPr="00251FEA">
              <w:rPr>
                <w:rFonts w:ascii="Corbel" w:hAnsi="Corbel" w:cs="TimesNewRomanPSMT"/>
              </w:rPr>
              <w:br/>
            </w:r>
            <w:r w:rsidRPr="00251FEA">
              <w:rPr>
                <w:rFonts w:ascii="Corbel" w:hAnsi="Corbel" w:cs="TimesNewRomanPSMT"/>
              </w:rPr>
              <w:t>w logistyce</w:t>
            </w:r>
          </w:p>
        </w:tc>
        <w:tc>
          <w:tcPr>
            <w:tcW w:w="1984" w:type="dxa"/>
            <w:gridSpan w:val="2"/>
          </w:tcPr>
          <w:p w14:paraId="054E9287" w14:textId="70DFA35D" w:rsidR="00970998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K_W01, K_U02, K_U03, </w:t>
            </w:r>
            <w:r w:rsidR="00D07F7E" w:rsidRPr="00251FEA">
              <w:rPr>
                <w:rFonts w:ascii="Corbel" w:hAnsi="Corbel"/>
              </w:rPr>
              <w:t xml:space="preserve">K_U04, </w:t>
            </w:r>
            <w:r w:rsidRPr="00251FE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32580243" w14:textId="577F2DE3" w:rsidR="00970998" w:rsidRPr="00251FEA" w:rsidRDefault="003A68D4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755B872C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35DA416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4A6CB8A2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0CFC2BF8" w14:textId="77777777" w:rsidTr="00857D4E">
        <w:trPr>
          <w:trHeight w:val="227"/>
        </w:trPr>
        <w:tc>
          <w:tcPr>
            <w:tcW w:w="501" w:type="dxa"/>
          </w:tcPr>
          <w:p w14:paraId="74E917DC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12.</w:t>
            </w:r>
          </w:p>
        </w:tc>
        <w:tc>
          <w:tcPr>
            <w:tcW w:w="3180" w:type="dxa"/>
            <w:gridSpan w:val="2"/>
          </w:tcPr>
          <w:p w14:paraId="2D454184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Zarządzanie jakością </w:t>
            </w:r>
            <w:r w:rsidR="006F7591" w:rsidRPr="00251FEA">
              <w:rPr>
                <w:rFonts w:ascii="Corbel" w:hAnsi="Corbel" w:cs="TimesNewRomanPSMT"/>
              </w:rPr>
              <w:br/>
            </w:r>
            <w:r w:rsidRPr="00251FEA">
              <w:rPr>
                <w:rFonts w:ascii="Corbel" w:hAnsi="Corbel" w:cs="TimesNewRomanPSMT"/>
              </w:rPr>
              <w:t>w przedsiębiorstwie transportowym</w:t>
            </w:r>
          </w:p>
        </w:tc>
        <w:tc>
          <w:tcPr>
            <w:tcW w:w="1984" w:type="dxa"/>
            <w:gridSpan w:val="2"/>
          </w:tcPr>
          <w:p w14:paraId="54EF42B0" w14:textId="7B4B5684" w:rsidR="00970998" w:rsidRPr="00251FEA" w:rsidRDefault="00801DDC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K_W02, </w:t>
            </w:r>
            <w:r w:rsidR="00970998" w:rsidRPr="00251FEA">
              <w:rPr>
                <w:rFonts w:ascii="Corbel" w:hAnsi="Corbel"/>
              </w:rPr>
              <w:t xml:space="preserve">K_W08, </w:t>
            </w:r>
            <w:r w:rsidRPr="00251FEA">
              <w:rPr>
                <w:rFonts w:ascii="Corbel" w:hAnsi="Corbel"/>
              </w:rPr>
              <w:t xml:space="preserve">K_U04, </w:t>
            </w:r>
            <w:r w:rsidR="00970998" w:rsidRPr="00251FEA">
              <w:rPr>
                <w:rFonts w:ascii="Corbel" w:hAnsi="Corbel"/>
              </w:rPr>
              <w:t xml:space="preserve">K_U07, K_U10, </w:t>
            </w:r>
            <w:r w:rsidR="002077A8" w:rsidRPr="00251FEA">
              <w:rPr>
                <w:rFonts w:ascii="Corbel" w:hAnsi="Corbel"/>
              </w:rPr>
              <w:t xml:space="preserve">K_U11, </w:t>
            </w:r>
            <w:r w:rsidR="00970998" w:rsidRPr="00251FEA">
              <w:rPr>
                <w:rFonts w:ascii="Corbel" w:hAnsi="Corbel"/>
              </w:rPr>
              <w:t xml:space="preserve">K_K02, K_K03, </w:t>
            </w:r>
            <w:r w:rsidR="00681C59" w:rsidRPr="00251FEA">
              <w:rPr>
                <w:rFonts w:ascii="Corbel" w:hAnsi="Corbel"/>
              </w:rPr>
              <w:t xml:space="preserve">K_K04, </w:t>
            </w:r>
            <w:r w:rsidR="00970998" w:rsidRPr="00251FEA">
              <w:rPr>
                <w:rFonts w:ascii="Corbel" w:hAnsi="Corbel"/>
              </w:rPr>
              <w:t>K_K05</w:t>
            </w:r>
          </w:p>
        </w:tc>
        <w:tc>
          <w:tcPr>
            <w:tcW w:w="1134" w:type="dxa"/>
            <w:vAlign w:val="center"/>
          </w:tcPr>
          <w:p w14:paraId="79DE3CB1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DCB3B93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8B9582F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5978DE7C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</w:t>
            </w:r>
          </w:p>
        </w:tc>
      </w:tr>
      <w:tr w:rsidR="00251FEA" w:rsidRPr="00251FEA" w14:paraId="36729C92" w14:textId="77777777" w:rsidTr="007D48E4">
        <w:trPr>
          <w:trHeight w:val="227"/>
        </w:trPr>
        <w:tc>
          <w:tcPr>
            <w:tcW w:w="501" w:type="dxa"/>
          </w:tcPr>
          <w:p w14:paraId="412F724E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13.</w:t>
            </w:r>
          </w:p>
        </w:tc>
        <w:tc>
          <w:tcPr>
            <w:tcW w:w="3180" w:type="dxa"/>
            <w:gridSpan w:val="2"/>
          </w:tcPr>
          <w:p w14:paraId="5440F06D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Organizacja przedsiębiorstw logistycznych</w:t>
            </w:r>
          </w:p>
        </w:tc>
        <w:tc>
          <w:tcPr>
            <w:tcW w:w="1984" w:type="dxa"/>
            <w:gridSpan w:val="2"/>
          </w:tcPr>
          <w:p w14:paraId="5A547A7C" w14:textId="301142AB" w:rsidR="00970998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K_W04, K_W09,</w:t>
            </w:r>
            <w:r w:rsidR="00844129" w:rsidRPr="00251FEA">
              <w:rPr>
                <w:rFonts w:ascii="Corbel" w:hAnsi="Corbel"/>
              </w:rPr>
              <w:t xml:space="preserve"> K_W10, </w:t>
            </w:r>
            <w:r w:rsidRPr="00251FEA">
              <w:rPr>
                <w:rFonts w:ascii="Corbel" w:hAnsi="Corbel"/>
              </w:rPr>
              <w:t>K_W11, K_U05, K_U06, K_U07, K_U11, K_K02, K_K03, K_K05</w:t>
            </w:r>
          </w:p>
        </w:tc>
        <w:tc>
          <w:tcPr>
            <w:tcW w:w="1134" w:type="dxa"/>
            <w:vAlign w:val="center"/>
          </w:tcPr>
          <w:p w14:paraId="75EBCEAB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72647E57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44FB224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5071BD29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</w:t>
            </w:r>
          </w:p>
        </w:tc>
      </w:tr>
      <w:tr w:rsidR="00251FEA" w:rsidRPr="00251FEA" w14:paraId="4FF721DB" w14:textId="77777777" w:rsidTr="00857D4E">
        <w:trPr>
          <w:trHeight w:val="227"/>
        </w:trPr>
        <w:tc>
          <w:tcPr>
            <w:tcW w:w="501" w:type="dxa"/>
          </w:tcPr>
          <w:p w14:paraId="65ED5C3C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14.</w:t>
            </w:r>
          </w:p>
        </w:tc>
        <w:tc>
          <w:tcPr>
            <w:tcW w:w="3180" w:type="dxa"/>
            <w:gridSpan w:val="2"/>
          </w:tcPr>
          <w:p w14:paraId="5DF869C6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Zarządzanie strategiczne firmą i rachunek kosztów</w:t>
            </w:r>
          </w:p>
        </w:tc>
        <w:tc>
          <w:tcPr>
            <w:tcW w:w="1984" w:type="dxa"/>
            <w:gridSpan w:val="2"/>
          </w:tcPr>
          <w:p w14:paraId="41C352D6" w14:textId="77777777" w:rsidR="00681C59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K_W02, K_W09, K_W11, </w:t>
            </w:r>
            <w:r w:rsidR="00681C59" w:rsidRPr="00251FEA">
              <w:rPr>
                <w:rFonts w:ascii="Corbel" w:hAnsi="Corbel"/>
              </w:rPr>
              <w:t>K_W12,</w:t>
            </w:r>
          </w:p>
          <w:p w14:paraId="1DFEB410" w14:textId="7EA662AB" w:rsidR="00970998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K_U03, K_U04, </w:t>
            </w:r>
            <w:r w:rsidR="00F31AA6" w:rsidRPr="00251FEA">
              <w:rPr>
                <w:rFonts w:ascii="Corbel" w:hAnsi="Corbel"/>
              </w:rPr>
              <w:t>K_U10,</w:t>
            </w:r>
            <w:r w:rsidR="00681C59" w:rsidRPr="00251FEA">
              <w:rPr>
                <w:rFonts w:ascii="Corbel" w:hAnsi="Corbel"/>
              </w:rPr>
              <w:t xml:space="preserve"> K_U11,</w:t>
            </w:r>
            <w:r w:rsidR="00F31AA6" w:rsidRPr="00251FEA">
              <w:rPr>
                <w:rFonts w:ascii="Corbel" w:hAnsi="Corbel"/>
              </w:rPr>
              <w:t xml:space="preserve"> </w:t>
            </w:r>
            <w:r w:rsidRPr="00251FEA">
              <w:rPr>
                <w:rFonts w:ascii="Corbel" w:hAnsi="Corbel"/>
              </w:rPr>
              <w:t>K_K03</w:t>
            </w:r>
            <w:r w:rsidR="00641D52" w:rsidRPr="00251FEA">
              <w:rPr>
                <w:rFonts w:ascii="Corbel" w:hAnsi="Corbel"/>
              </w:rPr>
              <w:t>, K_K05</w:t>
            </w:r>
          </w:p>
        </w:tc>
        <w:tc>
          <w:tcPr>
            <w:tcW w:w="1134" w:type="dxa"/>
            <w:vAlign w:val="center"/>
          </w:tcPr>
          <w:p w14:paraId="4F4E8934" w14:textId="0EB8876D" w:rsidR="00970998" w:rsidRPr="00251FEA" w:rsidRDefault="003A68D4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12F25CFF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76E65296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E</w:t>
            </w:r>
          </w:p>
        </w:tc>
        <w:tc>
          <w:tcPr>
            <w:tcW w:w="964" w:type="dxa"/>
            <w:vAlign w:val="center"/>
          </w:tcPr>
          <w:p w14:paraId="7CFB4E48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</w:t>
            </w:r>
          </w:p>
        </w:tc>
      </w:tr>
      <w:tr w:rsidR="00251FEA" w:rsidRPr="00251FEA" w14:paraId="52115F2A" w14:textId="77777777" w:rsidTr="00857D4E">
        <w:trPr>
          <w:trHeight w:val="227"/>
        </w:trPr>
        <w:tc>
          <w:tcPr>
            <w:tcW w:w="501" w:type="dxa"/>
            <w:shd w:val="clear" w:color="auto" w:fill="FFFFFF" w:themeFill="background1"/>
          </w:tcPr>
          <w:p w14:paraId="56DAB895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</w:t>
            </w:r>
            <w:r w:rsidR="007C1F41" w:rsidRPr="00251FEA">
              <w:rPr>
                <w:rFonts w:ascii="Corbel" w:hAnsi="Corbel" w:cs="TimesNewRomanPSMT"/>
              </w:rPr>
              <w:t>5</w:t>
            </w:r>
            <w:r w:rsidRPr="00251FEA">
              <w:rPr>
                <w:rFonts w:ascii="Corbel" w:hAnsi="Corbel" w:cs="TimesNewRomanPSMT"/>
              </w:rPr>
              <w:t>.</w:t>
            </w:r>
          </w:p>
        </w:tc>
        <w:tc>
          <w:tcPr>
            <w:tcW w:w="3180" w:type="dxa"/>
            <w:gridSpan w:val="2"/>
          </w:tcPr>
          <w:p w14:paraId="1FE806CB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Procesy logistyczne w rolnictwie</w:t>
            </w:r>
          </w:p>
        </w:tc>
        <w:tc>
          <w:tcPr>
            <w:tcW w:w="1984" w:type="dxa"/>
            <w:gridSpan w:val="2"/>
          </w:tcPr>
          <w:p w14:paraId="23596B58" w14:textId="356F9B73" w:rsidR="00970998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K_W02, </w:t>
            </w:r>
            <w:r w:rsidR="00844129" w:rsidRPr="00251FEA">
              <w:rPr>
                <w:rFonts w:ascii="Corbel" w:hAnsi="Corbel"/>
              </w:rPr>
              <w:t xml:space="preserve">K_W10, </w:t>
            </w:r>
            <w:r w:rsidRPr="00251FEA">
              <w:rPr>
                <w:rFonts w:ascii="Corbel" w:hAnsi="Corbel"/>
              </w:rPr>
              <w:t xml:space="preserve">K_U01, K_U06, K_U08, </w:t>
            </w:r>
            <w:r w:rsidR="00F31AA6" w:rsidRPr="00251FEA">
              <w:rPr>
                <w:rFonts w:ascii="Corbel" w:hAnsi="Corbel"/>
              </w:rPr>
              <w:t xml:space="preserve">K_U10, </w:t>
            </w:r>
            <w:r w:rsidRPr="00251FEA">
              <w:rPr>
                <w:rFonts w:ascii="Corbel" w:hAnsi="Corbel"/>
              </w:rPr>
              <w:t>K_K04</w:t>
            </w:r>
          </w:p>
        </w:tc>
        <w:tc>
          <w:tcPr>
            <w:tcW w:w="1134" w:type="dxa"/>
            <w:vAlign w:val="center"/>
          </w:tcPr>
          <w:p w14:paraId="3877E164" w14:textId="388A1A09" w:rsidR="00970998" w:rsidRPr="00251FEA" w:rsidRDefault="003A68D4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  <w:r w:rsidR="00C60DDE" w:rsidRPr="00251FEA">
              <w:rPr>
                <w:rFonts w:ascii="Corbel" w:hAnsi="Corbel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6A0E8BAC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4B11373A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6E807B91" w14:textId="3051880D" w:rsidR="00970998" w:rsidRPr="00251FEA" w:rsidRDefault="003A68D4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46163305" w14:textId="77777777" w:rsidTr="00857D4E">
        <w:trPr>
          <w:trHeight w:val="227"/>
        </w:trPr>
        <w:tc>
          <w:tcPr>
            <w:tcW w:w="501" w:type="dxa"/>
            <w:shd w:val="clear" w:color="auto" w:fill="FFFFFF" w:themeFill="background1"/>
          </w:tcPr>
          <w:p w14:paraId="7F7CA0E6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</w:t>
            </w:r>
            <w:r w:rsidR="007C1F41" w:rsidRPr="00251FEA">
              <w:rPr>
                <w:rFonts w:ascii="Corbel" w:hAnsi="Corbel" w:cs="TimesNewRomanPSMT"/>
              </w:rPr>
              <w:t>6</w:t>
            </w:r>
            <w:r w:rsidRPr="00251FEA">
              <w:rPr>
                <w:rFonts w:ascii="Corbel" w:hAnsi="Corbel" w:cs="TimesNewRomanPSMT"/>
              </w:rPr>
              <w:t>.</w:t>
            </w:r>
          </w:p>
        </w:tc>
        <w:tc>
          <w:tcPr>
            <w:tcW w:w="3180" w:type="dxa"/>
            <w:gridSpan w:val="2"/>
          </w:tcPr>
          <w:p w14:paraId="6B35A52B" w14:textId="77777777" w:rsidR="00970998" w:rsidRPr="00251FEA" w:rsidRDefault="00970998" w:rsidP="00970998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Systemy kontroli produkcji</w:t>
            </w:r>
          </w:p>
        </w:tc>
        <w:tc>
          <w:tcPr>
            <w:tcW w:w="1984" w:type="dxa"/>
            <w:gridSpan w:val="2"/>
          </w:tcPr>
          <w:p w14:paraId="040E4827" w14:textId="77777777" w:rsidR="00970998" w:rsidRPr="00251FEA" w:rsidRDefault="00970998" w:rsidP="00970998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K_W02, K_W08, K_U03, K_U04, K_K03</w:t>
            </w:r>
          </w:p>
        </w:tc>
        <w:tc>
          <w:tcPr>
            <w:tcW w:w="1134" w:type="dxa"/>
            <w:vAlign w:val="center"/>
          </w:tcPr>
          <w:p w14:paraId="32F2B871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49A8A57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7B9E36D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1156B2CE" w14:textId="77777777" w:rsidR="00970998" w:rsidRPr="00251FEA" w:rsidRDefault="00970998" w:rsidP="00970998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23073403" w14:textId="77777777" w:rsidTr="00857D4E">
        <w:trPr>
          <w:trHeight w:val="227"/>
        </w:trPr>
        <w:tc>
          <w:tcPr>
            <w:tcW w:w="501" w:type="dxa"/>
            <w:shd w:val="clear" w:color="auto" w:fill="FFFFFF" w:themeFill="background1"/>
          </w:tcPr>
          <w:p w14:paraId="5CB02AC5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17.</w:t>
            </w:r>
          </w:p>
        </w:tc>
        <w:tc>
          <w:tcPr>
            <w:tcW w:w="3180" w:type="dxa"/>
            <w:gridSpan w:val="2"/>
          </w:tcPr>
          <w:p w14:paraId="6D65AD3E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Autentyczność produktów w przemyśle rolno-spożywczym</w:t>
            </w:r>
          </w:p>
        </w:tc>
        <w:tc>
          <w:tcPr>
            <w:tcW w:w="1984" w:type="dxa"/>
            <w:gridSpan w:val="2"/>
          </w:tcPr>
          <w:p w14:paraId="70B41004" w14:textId="2E828E24" w:rsidR="00E234F4" w:rsidRPr="00251FEA" w:rsidRDefault="00F53B98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K_W06, </w:t>
            </w:r>
            <w:r w:rsidR="00231B47" w:rsidRPr="00251FEA">
              <w:rPr>
                <w:rFonts w:ascii="Corbel" w:hAnsi="Corbel"/>
              </w:rPr>
              <w:t>K_W08, K_U03,</w:t>
            </w:r>
            <w:r w:rsidR="007F4573" w:rsidRPr="00251FEA">
              <w:rPr>
                <w:rFonts w:ascii="Corbel" w:hAnsi="Corbel"/>
              </w:rPr>
              <w:t>K_U04,</w:t>
            </w:r>
            <w:r w:rsidR="00231B47" w:rsidRPr="00251FEA">
              <w:rPr>
                <w:rFonts w:ascii="Corbel" w:hAnsi="Corbel"/>
              </w:rPr>
              <w:t xml:space="preserve"> K_K01</w:t>
            </w:r>
          </w:p>
        </w:tc>
        <w:tc>
          <w:tcPr>
            <w:tcW w:w="1134" w:type="dxa"/>
            <w:vAlign w:val="center"/>
          </w:tcPr>
          <w:p w14:paraId="46D76A41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11422B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0C85B8C8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010E7766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6531EEDA" w14:textId="77777777" w:rsidTr="00857D4E">
        <w:trPr>
          <w:trHeight w:val="227"/>
        </w:trPr>
        <w:tc>
          <w:tcPr>
            <w:tcW w:w="501" w:type="dxa"/>
            <w:shd w:val="clear" w:color="auto" w:fill="FFFFFF" w:themeFill="background1"/>
          </w:tcPr>
          <w:p w14:paraId="66631428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18.</w:t>
            </w:r>
          </w:p>
        </w:tc>
        <w:tc>
          <w:tcPr>
            <w:tcW w:w="3180" w:type="dxa"/>
            <w:gridSpan w:val="2"/>
          </w:tcPr>
          <w:p w14:paraId="0209294D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Ergonomia i bezpieczeństwo pracy w logistyce</w:t>
            </w:r>
          </w:p>
        </w:tc>
        <w:tc>
          <w:tcPr>
            <w:tcW w:w="1984" w:type="dxa"/>
            <w:gridSpan w:val="2"/>
          </w:tcPr>
          <w:p w14:paraId="348213D7" w14:textId="66837F53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K_W03, K_W04, K_U03, K_U05, </w:t>
            </w:r>
            <w:r w:rsidR="00BC117C" w:rsidRPr="00251FEA">
              <w:rPr>
                <w:rFonts w:ascii="Corbel" w:hAnsi="Corbel"/>
              </w:rPr>
              <w:t xml:space="preserve">K_U06, </w:t>
            </w:r>
            <w:r w:rsidRPr="00251FEA">
              <w:rPr>
                <w:rFonts w:ascii="Corbel" w:hAnsi="Corbel"/>
              </w:rPr>
              <w:t>K_K01, K_K02</w:t>
            </w:r>
          </w:p>
        </w:tc>
        <w:tc>
          <w:tcPr>
            <w:tcW w:w="1134" w:type="dxa"/>
            <w:vAlign w:val="center"/>
          </w:tcPr>
          <w:p w14:paraId="7D3FE0AB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169AEE7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0BC20A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5C3E82EF" w14:textId="77D299D2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351B680C" w14:textId="77777777" w:rsidTr="00857D4E">
        <w:trPr>
          <w:trHeight w:val="227"/>
        </w:trPr>
        <w:tc>
          <w:tcPr>
            <w:tcW w:w="501" w:type="dxa"/>
          </w:tcPr>
          <w:p w14:paraId="47A50DD7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lastRenderedPageBreak/>
              <w:t>19.</w:t>
            </w:r>
          </w:p>
        </w:tc>
        <w:tc>
          <w:tcPr>
            <w:tcW w:w="3180" w:type="dxa"/>
            <w:gridSpan w:val="2"/>
          </w:tcPr>
          <w:p w14:paraId="2210D97C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Bezpieczeństwo żywności</w:t>
            </w:r>
          </w:p>
        </w:tc>
        <w:tc>
          <w:tcPr>
            <w:tcW w:w="1984" w:type="dxa"/>
            <w:gridSpan w:val="2"/>
          </w:tcPr>
          <w:p w14:paraId="7B741E7E" w14:textId="24BCDAAE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K_W05, K_W06, K_U06, </w:t>
            </w:r>
            <w:r w:rsidR="00BC117C" w:rsidRPr="00251FEA">
              <w:rPr>
                <w:rFonts w:ascii="Corbel" w:hAnsi="Corbel"/>
              </w:rPr>
              <w:t xml:space="preserve">K_U08, </w:t>
            </w:r>
            <w:r w:rsidRPr="00251FEA">
              <w:rPr>
                <w:rFonts w:ascii="Corbel" w:hAnsi="Corbel"/>
              </w:rPr>
              <w:t>K_K01</w:t>
            </w:r>
            <w:r w:rsidR="00BC117C" w:rsidRPr="00251FEA">
              <w:rPr>
                <w:rFonts w:ascii="Corbel" w:hAnsi="Corbel"/>
              </w:rPr>
              <w:t>, K_K05</w:t>
            </w:r>
          </w:p>
        </w:tc>
        <w:tc>
          <w:tcPr>
            <w:tcW w:w="1134" w:type="dxa"/>
            <w:vAlign w:val="center"/>
          </w:tcPr>
          <w:p w14:paraId="30C2CDAC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3C5909BD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ED771B9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6A32ACC8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007C77BA" w14:textId="77777777" w:rsidTr="00857D4E">
        <w:trPr>
          <w:trHeight w:val="227"/>
        </w:trPr>
        <w:tc>
          <w:tcPr>
            <w:tcW w:w="5665" w:type="dxa"/>
            <w:gridSpan w:val="5"/>
          </w:tcPr>
          <w:p w14:paraId="777363B5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4FE4F" w14:textId="091FBF05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Σ 480</w:t>
            </w:r>
          </w:p>
        </w:tc>
        <w:tc>
          <w:tcPr>
            <w:tcW w:w="1134" w:type="dxa"/>
            <w:gridSpan w:val="2"/>
          </w:tcPr>
          <w:p w14:paraId="405CD160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</w:tcPr>
          <w:p w14:paraId="43D91DF3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964" w:type="dxa"/>
          </w:tcPr>
          <w:p w14:paraId="7B5ED774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Σ 42</w:t>
            </w:r>
          </w:p>
        </w:tc>
      </w:tr>
      <w:tr w:rsidR="00251FEA" w:rsidRPr="00251FEA" w14:paraId="0E23E92C" w14:textId="77777777" w:rsidTr="004858D1">
        <w:trPr>
          <w:trHeight w:val="227"/>
        </w:trPr>
        <w:tc>
          <w:tcPr>
            <w:tcW w:w="10031" w:type="dxa"/>
            <w:gridSpan w:val="10"/>
          </w:tcPr>
          <w:p w14:paraId="4209D457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Grupa przedmiotów podstawowych do wyboru</w:t>
            </w:r>
          </w:p>
        </w:tc>
      </w:tr>
      <w:tr w:rsidR="00251FEA" w:rsidRPr="00251FEA" w14:paraId="728CD1E8" w14:textId="77777777" w:rsidTr="00857D4E">
        <w:trPr>
          <w:trHeight w:val="227"/>
        </w:trPr>
        <w:tc>
          <w:tcPr>
            <w:tcW w:w="501" w:type="dxa"/>
          </w:tcPr>
          <w:p w14:paraId="12B4FA94" w14:textId="77777777" w:rsidR="00E234F4" w:rsidRPr="00251FEA" w:rsidRDefault="00096390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20</w:t>
            </w:r>
            <w:r w:rsidR="00E234F4"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43FDBF15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Ekofilozofia / Filozofia</w:t>
            </w:r>
          </w:p>
        </w:tc>
        <w:tc>
          <w:tcPr>
            <w:tcW w:w="1984" w:type="dxa"/>
            <w:gridSpan w:val="2"/>
          </w:tcPr>
          <w:p w14:paraId="78984EC2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K_W09, K_W10, K_W12, K_K02</w:t>
            </w:r>
          </w:p>
        </w:tc>
        <w:tc>
          <w:tcPr>
            <w:tcW w:w="1134" w:type="dxa"/>
          </w:tcPr>
          <w:p w14:paraId="06126948" w14:textId="5BED4095" w:rsidR="00E234F4" w:rsidRPr="00251FEA" w:rsidRDefault="00231B47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</w:tcPr>
          <w:p w14:paraId="0B5DABED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14:paraId="2399627D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</w:tcPr>
          <w:p w14:paraId="4E642283" w14:textId="67E25184" w:rsidR="00E234F4" w:rsidRPr="00251FEA" w:rsidRDefault="00231B47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</w:t>
            </w:r>
          </w:p>
        </w:tc>
      </w:tr>
      <w:tr w:rsidR="00251FEA" w:rsidRPr="00251FEA" w14:paraId="53F65E42" w14:textId="77777777" w:rsidTr="00857D4E">
        <w:trPr>
          <w:trHeight w:val="227"/>
        </w:trPr>
        <w:tc>
          <w:tcPr>
            <w:tcW w:w="501" w:type="dxa"/>
          </w:tcPr>
          <w:p w14:paraId="1F5D94B7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3180" w:type="dxa"/>
            <w:gridSpan w:val="2"/>
          </w:tcPr>
          <w:p w14:paraId="641EE574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</w:p>
        </w:tc>
        <w:tc>
          <w:tcPr>
            <w:tcW w:w="1984" w:type="dxa"/>
            <w:gridSpan w:val="2"/>
          </w:tcPr>
          <w:p w14:paraId="10557D18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14:paraId="3AACAF0D" w14:textId="126A520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Σ </w:t>
            </w:r>
            <w:r w:rsidR="00294412" w:rsidRPr="00251FE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</w:tcPr>
          <w:p w14:paraId="0DC45B72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</w:tcPr>
          <w:p w14:paraId="40F4D019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964" w:type="dxa"/>
          </w:tcPr>
          <w:p w14:paraId="0AE024F4" w14:textId="148C7D1E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Σ </w:t>
            </w:r>
            <w:r w:rsidR="00231B47" w:rsidRPr="00251FEA">
              <w:rPr>
                <w:rFonts w:ascii="Corbel" w:hAnsi="Corbel" w:cs="TimesNewRomanPSMT"/>
              </w:rPr>
              <w:t>3</w:t>
            </w:r>
          </w:p>
        </w:tc>
      </w:tr>
      <w:tr w:rsidR="00251FEA" w:rsidRPr="00251FEA" w14:paraId="483DCD76" w14:textId="77777777" w:rsidTr="0003661E">
        <w:trPr>
          <w:trHeight w:val="227"/>
        </w:trPr>
        <w:tc>
          <w:tcPr>
            <w:tcW w:w="10031" w:type="dxa"/>
            <w:gridSpan w:val="10"/>
          </w:tcPr>
          <w:p w14:paraId="2D8AFDF8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Grupa przedmiotów kierunkowych do wyboru</w:t>
            </w:r>
          </w:p>
        </w:tc>
      </w:tr>
      <w:tr w:rsidR="00251FEA" w:rsidRPr="00251FEA" w14:paraId="74946BA4" w14:textId="77777777" w:rsidTr="00857D4E">
        <w:trPr>
          <w:trHeight w:val="227"/>
        </w:trPr>
        <w:tc>
          <w:tcPr>
            <w:tcW w:w="501" w:type="dxa"/>
          </w:tcPr>
          <w:p w14:paraId="060014D1" w14:textId="2A15E42D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1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4C2B4D72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Marketing w logistyce / Techniki negocjacji</w:t>
            </w:r>
          </w:p>
        </w:tc>
        <w:tc>
          <w:tcPr>
            <w:tcW w:w="1984" w:type="dxa"/>
            <w:gridSpan w:val="2"/>
          </w:tcPr>
          <w:p w14:paraId="3446FF1B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K_W11, K_W12, K_U04, K_U07, K_U10, K_K03 </w:t>
            </w:r>
          </w:p>
        </w:tc>
        <w:tc>
          <w:tcPr>
            <w:tcW w:w="1134" w:type="dxa"/>
            <w:vAlign w:val="center"/>
          </w:tcPr>
          <w:p w14:paraId="22B58FD8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A5C0D90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28811AB7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7BEAAA4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5BCE2F2A" w14:textId="77777777" w:rsidTr="00857D4E">
        <w:trPr>
          <w:trHeight w:val="227"/>
        </w:trPr>
        <w:tc>
          <w:tcPr>
            <w:tcW w:w="501" w:type="dxa"/>
          </w:tcPr>
          <w:p w14:paraId="7CF275C6" w14:textId="2A407F5F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7C9D2F3A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Technologie internetowe / Programowanie aplikacji biurowych</w:t>
            </w:r>
          </w:p>
        </w:tc>
        <w:tc>
          <w:tcPr>
            <w:tcW w:w="1984" w:type="dxa"/>
            <w:gridSpan w:val="2"/>
          </w:tcPr>
          <w:p w14:paraId="3529BF7A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K_W01, K_W02, K_U01, K_U02, K_U03, K_U07, K_K04</w:t>
            </w:r>
          </w:p>
        </w:tc>
        <w:tc>
          <w:tcPr>
            <w:tcW w:w="1134" w:type="dxa"/>
            <w:vAlign w:val="center"/>
          </w:tcPr>
          <w:p w14:paraId="1DA38B75" w14:textId="0AFFAC3D" w:rsidR="00E234F4" w:rsidRPr="00251FEA" w:rsidRDefault="00C60DDE" w:rsidP="00C60DDE">
            <w:pPr>
              <w:tabs>
                <w:tab w:val="left" w:leader="dot" w:pos="3969"/>
              </w:tabs>
              <w:spacing w:before="240"/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2629BCB4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2A391DE2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6C3C2E6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2</w:t>
            </w:r>
          </w:p>
        </w:tc>
      </w:tr>
      <w:tr w:rsidR="00251FEA" w:rsidRPr="00251FEA" w14:paraId="283185DA" w14:textId="77777777" w:rsidTr="00857D4E">
        <w:trPr>
          <w:trHeight w:val="227"/>
        </w:trPr>
        <w:tc>
          <w:tcPr>
            <w:tcW w:w="501" w:type="dxa"/>
          </w:tcPr>
          <w:p w14:paraId="0FF44C2E" w14:textId="00073823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3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2A1B4619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Optymalizacja transportu z wykorzystaniem systemów </w:t>
            </w:r>
            <w:proofErr w:type="spellStart"/>
            <w:r w:rsidRPr="00251FEA">
              <w:rPr>
                <w:rFonts w:ascii="Corbel" w:hAnsi="Corbel" w:cs="TimesNewRomanPSMT"/>
              </w:rPr>
              <w:t>telematycznych</w:t>
            </w:r>
            <w:proofErr w:type="spellEnd"/>
            <w:r w:rsidRPr="00251FEA">
              <w:rPr>
                <w:rFonts w:ascii="Corbel" w:hAnsi="Corbel" w:cs="TimesNewRomanPSMT"/>
              </w:rPr>
              <w:t xml:space="preserve"> / Spedycja międzynarodowa </w:t>
            </w:r>
            <w:r w:rsidRPr="00251FEA">
              <w:rPr>
                <w:rFonts w:ascii="Corbel" w:hAnsi="Corbel" w:cs="TimesNewRomanPSMT"/>
              </w:rPr>
              <w:br/>
              <w:t>z wykorzystaniem systemów informatycznych</w:t>
            </w:r>
          </w:p>
        </w:tc>
        <w:tc>
          <w:tcPr>
            <w:tcW w:w="1984" w:type="dxa"/>
            <w:gridSpan w:val="2"/>
          </w:tcPr>
          <w:p w14:paraId="735CE833" w14:textId="560A0DB4" w:rsidR="00E234F4" w:rsidRPr="00251FEA" w:rsidRDefault="00801DDC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K_W01, </w:t>
            </w:r>
            <w:r w:rsidR="00E234F4" w:rsidRPr="00251FEA">
              <w:rPr>
                <w:rFonts w:ascii="Corbel" w:hAnsi="Corbel"/>
              </w:rPr>
              <w:t xml:space="preserve">K_W04, K_W06, K_W11, K_U03, K_U06, K_U07, K_K01, K_K04 </w:t>
            </w:r>
          </w:p>
        </w:tc>
        <w:tc>
          <w:tcPr>
            <w:tcW w:w="1134" w:type="dxa"/>
            <w:vAlign w:val="center"/>
          </w:tcPr>
          <w:p w14:paraId="4E44D26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4149A100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40B24B13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E</w:t>
            </w:r>
          </w:p>
        </w:tc>
        <w:tc>
          <w:tcPr>
            <w:tcW w:w="964" w:type="dxa"/>
            <w:vAlign w:val="center"/>
          </w:tcPr>
          <w:p w14:paraId="12F6FC16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4</w:t>
            </w:r>
          </w:p>
        </w:tc>
      </w:tr>
      <w:tr w:rsidR="00251FEA" w:rsidRPr="00251FEA" w14:paraId="64617F0F" w14:textId="77777777" w:rsidTr="00857D4E">
        <w:trPr>
          <w:trHeight w:val="227"/>
        </w:trPr>
        <w:tc>
          <w:tcPr>
            <w:tcW w:w="501" w:type="dxa"/>
          </w:tcPr>
          <w:p w14:paraId="0EE8B5F8" w14:textId="3B79D7A2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4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1099A04C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Przedmiot do wyboru</w:t>
            </w:r>
          </w:p>
        </w:tc>
        <w:tc>
          <w:tcPr>
            <w:tcW w:w="1984" w:type="dxa"/>
            <w:gridSpan w:val="2"/>
          </w:tcPr>
          <w:p w14:paraId="70A735BC" w14:textId="3E04FC34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K_U01, K_U02, K_U03, K_K03, K_K04</w:t>
            </w:r>
          </w:p>
        </w:tc>
        <w:tc>
          <w:tcPr>
            <w:tcW w:w="1134" w:type="dxa"/>
            <w:vAlign w:val="center"/>
          </w:tcPr>
          <w:p w14:paraId="59C55AFE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0340991F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03EDB61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6672FD04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</w:t>
            </w:r>
          </w:p>
        </w:tc>
      </w:tr>
      <w:tr w:rsidR="00251FEA" w:rsidRPr="00251FEA" w14:paraId="7A2B53E0" w14:textId="77777777" w:rsidTr="00857D4E">
        <w:trPr>
          <w:trHeight w:val="227"/>
        </w:trPr>
        <w:tc>
          <w:tcPr>
            <w:tcW w:w="501" w:type="dxa"/>
          </w:tcPr>
          <w:p w14:paraId="0B543EEA" w14:textId="0692ABF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5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39FE5007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Seminarium magisterskie</w:t>
            </w:r>
          </w:p>
        </w:tc>
        <w:tc>
          <w:tcPr>
            <w:tcW w:w="1984" w:type="dxa"/>
            <w:gridSpan w:val="2"/>
          </w:tcPr>
          <w:p w14:paraId="6C50FF25" w14:textId="06FCFB2D" w:rsidR="00E234F4" w:rsidRPr="00251FEA" w:rsidRDefault="00E234F4" w:rsidP="008640A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 xml:space="preserve">K_W07, </w:t>
            </w:r>
            <w:r w:rsidR="00B55BAE" w:rsidRPr="00251FEA">
              <w:rPr>
                <w:rFonts w:ascii="Corbel" w:hAnsi="Corbel"/>
              </w:rPr>
              <w:t xml:space="preserve">K_W10, </w:t>
            </w:r>
            <w:r w:rsidRPr="00251FEA">
              <w:rPr>
                <w:rFonts w:ascii="Corbel" w:hAnsi="Corbel"/>
              </w:rPr>
              <w:t xml:space="preserve">K_W12, K_U01, K_U02, K_U03, </w:t>
            </w:r>
            <w:r w:rsidR="00B55BAE" w:rsidRPr="00251FEA">
              <w:rPr>
                <w:rFonts w:ascii="Corbel" w:hAnsi="Corbel"/>
              </w:rPr>
              <w:t xml:space="preserve">K_U04, </w:t>
            </w:r>
            <w:r w:rsidR="008640A4" w:rsidRPr="00251FEA">
              <w:rPr>
                <w:rFonts w:ascii="Corbel" w:hAnsi="Corbel"/>
              </w:rPr>
              <w:t xml:space="preserve">K_U07, </w:t>
            </w:r>
            <w:r w:rsidRPr="00251FEA">
              <w:rPr>
                <w:rFonts w:ascii="Corbel" w:hAnsi="Corbel"/>
              </w:rPr>
              <w:t>K_U08, K_U09,</w:t>
            </w:r>
            <w:r w:rsidR="008640A4" w:rsidRPr="00251FEA">
              <w:rPr>
                <w:rFonts w:ascii="Corbel" w:hAnsi="Corbel"/>
              </w:rPr>
              <w:t xml:space="preserve"> </w:t>
            </w:r>
            <w:r w:rsidRPr="00251FEA">
              <w:rPr>
                <w:rFonts w:ascii="Corbel" w:hAnsi="Corbel"/>
              </w:rPr>
              <w:t>K_K01, K_K04, K_K05</w:t>
            </w:r>
          </w:p>
        </w:tc>
        <w:tc>
          <w:tcPr>
            <w:tcW w:w="1134" w:type="dxa"/>
            <w:vAlign w:val="center"/>
          </w:tcPr>
          <w:p w14:paraId="7A593024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4A98BF1A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0E8232F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</w:t>
            </w:r>
          </w:p>
        </w:tc>
        <w:tc>
          <w:tcPr>
            <w:tcW w:w="964" w:type="dxa"/>
            <w:vAlign w:val="center"/>
          </w:tcPr>
          <w:p w14:paraId="449A9AA4" w14:textId="35C237DD" w:rsidR="00E234F4" w:rsidRPr="00251FEA" w:rsidRDefault="00231B47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12</w:t>
            </w:r>
          </w:p>
        </w:tc>
      </w:tr>
      <w:tr w:rsidR="00251FEA" w:rsidRPr="00251FEA" w14:paraId="0BD17EA7" w14:textId="77777777" w:rsidTr="00857D4E">
        <w:trPr>
          <w:trHeight w:val="227"/>
        </w:trPr>
        <w:tc>
          <w:tcPr>
            <w:tcW w:w="501" w:type="dxa"/>
          </w:tcPr>
          <w:p w14:paraId="6B3DB175" w14:textId="620C1410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251FE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B55BAE" w:rsidRPr="00251FEA">
              <w:rPr>
                <w:rFonts w:ascii="Corbel" w:hAnsi="Corbel" w:cs="TimesNewRomanPSMT"/>
                <w:sz w:val="20"/>
                <w:szCs w:val="20"/>
              </w:rPr>
              <w:t>6</w:t>
            </w:r>
            <w:r w:rsidRPr="00251FE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3180" w:type="dxa"/>
            <w:gridSpan w:val="2"/>
          </w:tcPr>
          <w:p w14:paraId="38CDC3B9" w14:textId="77777777" w:rsidR="00E234F4" w:rsidRPr="00251FEA" w:rsidRDefault="00E234F4" w:rsidP="00E234F4">
            <w:pPr>
              <w:autoSpaceDE w:val="0"/>
              <w:autoSpaceDN w:val="0"/>
              <w:adjustRightInd w:val="0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Pracownia magisterska</w:t>
            </w:r>
          </w:p>
        </w:tc>
        <w:tc>
          <w:tcPr>
            <w:tcW w:w="1984" w:type="dxa"/>
            <w:gridSpan w:val="2"/>
          </w:tcPr>
          <w:p w14:paraId="48DA718A" w14:textId="32E00890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K_W07, K_W09, K_W12, K_U01, K_U02, K_U06,</w:t>
            </w:r>
            <w:r w:rsidR="008640A4" w:rsidRPr="00251FEA">
              <w:rPr>
                <w:rFonts w:ascii="Corbel" w:hAnsi="Corbel"/>
              </w:rPr>
              <w:t xml:space="preserve"> K_U07, </w:t>
            </w:r>
            <w:r w:rsidRPr="00251FEA">
              <w:rPr>
                <w:rFonts w:ascii="Corbel" w:hAnsi="Corbel"/>
              </w:rPr>
              <w:t>K_U08, K_U09, K_U11,</w:t>
            </w:r>
            <w:r w:rsidR="008640A4" w:rsidRPr="00251FEA">
              <w:rPr>
                <w:rFonts w:ascii="Corbel" w:hAnsi="Corbel"/>
              </w:rPr>
              <w:t xml:space="preserve"> </w:t>
            </w:r>
            <w:r w:rsidRPr="00251FE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7F429318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812095D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26FE0230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ZO</w:t>
            </w:r>
          </w:p>
        </w:tc>
        <w:tc>
          <w:tcPr>
            <w:tcW w:w="964" w:type="dxa"/>
            <w:vAlign w:val="center"/>
          </w:tcPr>
          <w:p w14:paraId="79A6B743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/>
              </w:rPr>
              <w:t>12</w:t>
            </w:r>
          </w:p>
        </w:tc>
      </w:tr>
      <w:tr w:rsidR="00251FEA" w:rsidRPr="00251FEA" w14:paraId="488AD7EC" w14:textId="77777777" w:rsidTr="00857D4E">
        <w:trPr>
          <w:trHeight w:val="227"/>
        </w:trPr>
        <w:tc>
          <w:tcPr>
            <w:tcW w:w="5665" w:type="dxa"/>
            <w:gridSpan w:val="5"/>
          </w:tcPr>
          <w:p w14:paraId="7EF48323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1134" w:type="dxa"/>
          </w:tcPr>
          <w:p w14:paraId="0557D7F2" w14:textId="43B97994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Σ </w:t>
            </w:r>
            <w:r w:rsidR="00C60DDE" w:rsidRPr="00251FEA">
              <w:rPr>
                <w:rFonts w:ascii="Corbel" w:hAnsi="Corbel" w:cs="TimesNewRomanPSMT"/>
              </w:rPr>
              <w:t>235</w:t>
            </w:r>
          </w:p>
        </w:tc>
        <w:tc>
          <w:tcPr>
            <w:tcW w:w="1134" w:type="dxa"/>
            <w:gridSpan w:val="2"/>
          </w:tcPr>
          <w:p w14:paraId="160406B4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</w:tcPr>
          <w:p w14:paraId="3381EC2D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964" w:type="dxa"/>
          </w:tcPr>
          <w:p w14:paraId="1A4E4A73" w14:textId="08B8A138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 xml:space="preserve">Σ </w:t>
            </w:r>
            <w:r w:rsidR="00231B47" w:rsidRPr="00251FEA">
              <w:rPr>
                <w:rFonts w:ascii="Corbel" w:hAnsi="Corbel" w:cs="TimesNewRomanPSMT"/>
              </w:rPr>
              <w:t>33</w:t>
            </w:r>
          </w:p>
        </w:tc>
      </w:tr>
      <w:tr w:rsidR="00251FEA" w:rsidRPr="00251FEA" w14:paraId="0B47FF53" w14:textId="77777777" w:rsidTr="00857D4E">
        <w:trPr>
          <w:trHeight w:val="227"/>
        </w:trPr>
        <w:tc>
          <w:tcPr>
            <w:tcW w:w="5665" w:type="dxa"/>
            <w:gridSpan w:val="5"/>
          </w:tcPr>
          <w:p w14:paraId="118A50C7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  <w:b/>
              </w:rPr>
            </w:pPr>
            <w:r w:rsidRPr="00251FEA">
              <w:rPr>
                <w:rFonts w:ascii="Corbel" w:hAnsi="Corbel"/>
                <w:b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</w:tcPr>
          <w:p w14:paraId="0249A62F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</w:p>
          <w:p w14:paraId="5E78FBEA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Σ 900</w:t>
            </w:r>
          </w:p>
        </w:tc>
        <w:tc>
          <w:tcPr>
            <w:tcW w:w="1134" w:type="dxa"/>
            <w:gridSpan w:val="2"/>
          </w:tcPr>
          <w:p w14:paraId="62652B9B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  <w:p w14:paraId="5E46C3DB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  <w:r w:rsidRPr="00251FE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</w:tcPr>
          <w:p w14:paraId="5BD48DA3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  <w:p w14:paraId="044A8155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/>
              </w:rPr>
            </w:pPr>
          </w:p>
        </w:tc>
        <w:tc>
          <w:tcPr>
            <w:tcW w:w="964" w:type="dxa"/>
          </w:tcPr>
          <w:p w14:paraId="3950488F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</w:rPr>
            </w:pPr>
          </w:p>
          <w:p w14:paraId="57FC7602" w14:textId="77777777" w:rsidR="00E234F4" w:rsidRPr="00251FEA" w:rsidRDefault="00E234F4" w:rsidP="00E234F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</w:rPr>
            </w:pPr>
            <w:r w:rsidRPr="00251FEA">
              <w:rPr>
                <w:rFonts w:ascii="Corbel" w:hAnsi="Corbel" w:cs="TimesNewRomanPSMT"/>
              </w:rPr>
              <w:t>Σ 90</w:t>
            </w:r>
          </w:p>
        </w:tc>
      </w:tr>
      <w:tr w:rsidR="00251FEA" w:rsidRPr="00251FEA" w14:paraId="69C97352" w14:textId="77777777" w:rsidTr="00857D4E">
        <w:trPr>
          <w:trHeight w:val="227"/>
        </w:trPr>
        <w:tc>
          <w:tcPr>
            <w:tcW w:w="5665" w:type="dxa"/>
            <w:gridSpan w:val="5"/>
          </w:tcPr>
          <w:p w14:paraId="641AC966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</w:rPr>
            </w:pPr>
            <w:r w:rsidRPr="00251FEA">
              <w:rPr>
                <w:rFonts w:ascii="Corbel" w:hAnsi="Corbel" w:cs="TimesNewRomanPSMT"/>
                <w:b/>
              </w:rPr>
              <w:t>Ogółem:</w:t>
            </w:r>
          </w:p>
        </w:tc>
        <w:tc>
          <w:tcPr>
            <w:tcW w:w="1134" w:type="dxa"/>
          </w:tcPr>
          <w:p w14:paraId="72AD3B5F" w14:textId="77777777" w:rsidR="00E234F4" w:rsidRPr="00251FEA" w:rsidRDefault="00BD660A" w:rsidP="00BD66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251FEA">
              <w:rPr>
                <w:rFonts w:ascii="Corbel" w:hAnsi="Corbel"/>
                <w:b/>
              </w:rPr>
              <w:t>900</w:t>
            </w:r>
          </w:p>
        </w:tc>
        <w:tc>
          <w:tcPr>
            <w:tcW w:w="1134" w:type="dxa"/>
            <w:gridSpan w:val="2"/>
          </w:tcPr>
          <w:p w14:paraId="7ACBAC3C" w14:textId="77777777" w:rsidR="00E234F4" w:rsidRPr="00251FEA" w:rsidRDefault="00E234F4" w:rsidP="00BD66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134" w:type="dxa"/>
          </w:tcPr>
          <w:p w14:paraId="729B7C65" w14:textId="77777777" w:rsidR="00E234F4" w:rsidRPr="00251FEA" w:rsidRDefault="00E234F4" w:rsidP="00BD66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964" w:type="dxa"/>
          </w:tcPr>
          <w:p w14:paraId="52001F9C" w14:textId="77777777" w:rsidR="00E234F4" w:rsidRPr="00251FEA" w:rsidRDefault="00BD660A" w:rsidP="00BD660A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</w:rPr>
            </w:pPr>
            <w:r w:rsidRPr="00251FEA">
              <w:rPr>
                <w:rFonts w:ascii="Corbel" w:hAnsi="Corbel"/>
                <w:b/>
              </w:rPr>
              <w:t>90</w:t>
            </w:r>
          </w:p>
        </w:tc>
      </w:tr>
      <w:tr w:rsidR="00251FEA" w:rsidRPr="00251FEA" w14:paraId="1106300D" w14:textId="77777777" w:rsidTr="005B4C0E">
        <w:tc>
          <w:tcPr>
            <w:tcW w:w="10031" w:type="dxa"/>
            <w:gridSpan w:val="10"/>
          </w:tcPr>
          <w:p w14:paraId="45068E99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Opis przebiegu studiów z uwzględnieniem kolejności przedmiotów, zasad wyboru przedmiotów obieralnych oraz zasad realizacji ścieżek kształcenia </w:t>
            </w:r>
          </w:p>
          <w:p w14:paraId="27996BA9" w14:textId="77777777" w:rsidR="00E234F4" w:rsidRPr="00251FEA" w:rsidRDefault="00E234F4" w:rsidP="00E234F4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43C3F156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Student w trakcie studiów II stopnia, od pierwszego semestru obowiązkowo realizuje grupę przedmiotów podstawowych i kierunkowych (grupa przedmiotów podstawowych </w:t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br/>
              <w:t>obejmuje 5, a grupa przedmiotów kierunkowych – 14</w:t>
            </w:r>
            <w:r w:rsidR="00BD660A" w:rsidRPr="00251FEA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t>przedmiotów).</w:t>
            </w:r>
          </w:p>
          <w:p w14:paraId="4F0E39E5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Język obcy realizowany jest przez dwa semestry (w 1 i 2 semestrze).</w:t>
            </w:r>
          </w:p>
          <w:p w14:paraId="6FCFF53C" w14:textId="0C2474C0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Przedmiot ogólnouczelniany z dziedziny nauk humanistycznych realizowany jest w 2 semestrze i jest przedmiotem obieralnym.</w:t>
            </w:r>
          </w:p>
          <w:p w14:paraId="17FFDFFB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lastRenderedPageBreak/>
              <w:t>Student realizuje ponadto 4 pary przedmiotów do wyboru (1 w grupie przedmiotów podstawowych i 3 w grupie przedmiotów kierunkowych), w obrębie których dokonuje wyboru po jednym z dwóch proponowanych przedmiotów.</w:t>
            </w:r>
          </w:p>
          <w:p w14:paraId="4E406A4A" w14:textId="2AAC1206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Dodatkowo program studiów obejmuje 1 grupę przedmiotów do wyboru, realizowaną </w:t>
            </w:r>
            <w:r w:rsidR="00F62DA7">
              <w:rPr>
                <w:rFonts w:ascii="Corbel" w:hAnsi="Corbel" w:cs="TimesNewRomanPSMT"/>
                <w:sz w:val="24"/>
                <w:szCs w:val="24"/>
              </w:rPr>
              <w:br/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t>w</w:t>
            </w:r>
            <w:r w:rsidR="0087783A" w:rsidRPr="00251FEA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6C103E" w:rsidRPr="00251FEA"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F62DA7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t>semestrze; student w obrębie tej grupy przedmiotów wybiera 1 spośród 4 proponowanych przedmiotów.</w:t>
            </w:r>
          </w:p>
          <w:p w14:paraId="183A6503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W semestrach 1-3 student uczestniczy w seminarium magisterskim, w wybranej przez studenta Jednostce, gdzie w 1 semestrze studiów dokonuje wyboru promotora i tematu pracy magisterskiej zgodnej z kierunkiem studiów.</w:t>
            </w:r>
          </w:p>
          <w:p w14:paraId="1341EC8C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Seminarium magisterskie zawiera treści z zakresu ochrony własności intelektualnej.</w:t>
            </w:r>
          </w:p>
          <w:p w14:paraId="631C8322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Warunkiem zaliczenia seminarium w 3 semestrze jest przedłożenie pracy dyplomowej magisterskiej, zweryfikowanej w systemie </w:t>
            </w:r>
            <w:proofErr w:type="spellStart"/>
            <w:r w:rsidRPr="00251FEA">
              <w:rPr>
                <w:rFonts w:ascii="Corbel" w:hAnsi="Corbel" w:cs="TimesNewRomanPSMT"/>
                <w:sz w:val="24"/>
                <w:szCs w:val="24"/>
              </w:rPr>
              <w:t>antyplagiatowym</w:t>
            </w:r>
            <w:proofErr w:type="spellEnd"/>
            <w:r w:rsidRPr="00251FEA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57DFAC1B" w14:textId="77777777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 xml:space="preserve">W ramach pracowni magisterskiej, w 2 i 3 semestrze student realizuje zadania badawcze związane </w:t>
            </w:r>
            <w:r w:rsidRPr="00251FEA">
              <w:rPr>
                <w:rFonts w:ascii="Corbel" w:hAnsi="Corbel" w:cs="TimesNewRomanPSMT"/>
                <w:sz w:val="24"/>
                <w:szCs w:val="24"/>
              </w:rPr>
              <w:br/>
              <w:t>z wybraną tematyką pracy dyplomowej.</w:t>
            </w:r>
          </w:p>
          <w:p w14:paraId="3ADA7235" w14:textId="4946AD19" w:rsidR="00E234F4" w:rsidRPr="00251FEA" w:rsidRDefault="00E234F4" w:rsidP="00E234F4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251FEA">
              <w:rPr>
                <w:rFonts w:ascii="Corbel" w:hAnsi="Corbel" w:cs="TimesNewRomanPSMT"/>
                <w:sz w:val="24"/>
                <w:szCs w:val="24"/>
              </w:rPr>
              <w:t>Program studiów umożliwia studentowi uzyskanie wszystkich założonych efektów uczenia się.</w:t>
            </w:r>
          </w:p>
          <w:p w14:paraId="695C3265" w14:textId="77777777" w:rsidR="00E234F4" w:rsidRPr="00251FEA" w:rsidRDefault="00E234F4" w:rsidP="00E234F4">
            <w:pPr>
              <w:tabs>
                <w:tab w:val="left" w:leader="dot" w:pos="3969"/>
              </w:tabs>
              <w:ind w:left="360"/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14:paraId="356E10A8" w14:textId="22A5857E" w:rsidR="000650CE" w:rsidRDefault="000650CE"/>
    <w:p w14:paraId="2E0E0A7C" w14:textId="77777777" w:rsidR="00BF7226" w:rsidRDefault="00BF7226" w:rsidP="00BF7226">
      <w:pPr>
        <w:spacing w:line="240" w:lineRule="auto"/>
        <w:ind w:left="3969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1B3ED2AF" w14:textId="77777777" w:rsidR="00BF7226" w:rsidRDefault="00BF7226" w:rsidP="00BF7226">
      <w:pPr>
        <w:spacing w:line="240" w:lineRule="auto"/>
        <w:ind w:left="3969"/>
        <w:jc w:val="center"/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42FEF0F7" w14:textId="77777777" w:rsidR="00BF7226" w:rsidRPr="00251FEA" w:rsidRDefault="00BF7226"/>
    <w:sectPr w:rsidR="00BF7226" w:rsidRPr="00251FEA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941"/>
    <w:multiLevelType w:val="hybridMultilevel"/>
    <w:tmpl w:val="359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111E9"/>
    <w:rsid w:val="0002654D"/>
    <w:rsid w:val="00045677"/>
    <w:rsid w:val="000520CC"/>
    <w:rsid w:val="000650CE"/>
    <w:rsid w:val="00074799"/>
    <w:rsid w:val="00074A85"/>
    <w:rsid w:val="00096390"/>
    <w:rsid w:val="00097BAD"/>
    <w:rsid w:val="000A3E74"/>
    <w:rsid w:val="000A546F"/>
    <w:rsid w:val="000C7F95"/>
    <w:rsid w:val="000E60FC"/>
    <w:rsid w:val="000F2572"/>
    <w:rsid w:val="00102706"/>
    <w:rsid w:val="00113BDA"/>
    <w:rsid w:val="001151E7"/>
    <w:rsid w:val="00120614"/>
    <w:rsid w:val="00125B8D"/>
    <w:rsid w:val="00132032"/>
    <w:rsid w:val="001408C9"/>
    <w:rsid w:val="001425E9"/>
    <w:rsid w:val="00145735"/>
    <w:rsid w:val="00145A77"/>
    <w:rsid w:val="001513EC"/>
    <w:rsid w:val="00163DC7"/>
    <w:rsid w:val="00166A11"/>
    <w:rsid w:val="00192B85"/>
    <w:rsid w:val="001D36DE"/>
    <w:rsid w:val="001F7691"/>
    <w:rsid w:val="002077A8"/>
    <w:rsid w:val="00212B4C"/>
    <w:rsid w:val="0022266C"/>
    <w:rsid w:val="00223935"/>
    <w:rsid w:val="00230352"/>
    <w:rsid w:val="00231B47"/>
    <w:rsid w:val="00233BA4"/>
    <w:rsid w:val="00251FEA"/>
    <w:rsid w:val="00277695"/>
    <w:rsid w:val="00280EC2"/>
    <w:rsid w:val="002821F3"/>
    <w:rsid w:val="00282A3E"/>
    <w:rsid w:val="00292ADF"/>
    <w:rsid w:val="00294412"/>
    <w:rsid w:val="002B0A11"/>
    <w:rsid w:val="002B7DA3"/>
    <w:rsid w:val="002D4D98"/>
    <w:rsid w:val="002E0896"/>
    <w:rsid w:val="002F6E82"/>
    <w:rsid w:val="003066B4"/>
    <w:rsid w:val="00312341"/>
    <w:rsid w:val="00340B22"/>
    <w:rsid w:val="00374E58"/>
    <w:rsid w:val="003851D4"/>
    <w:rsid w:val="00390B6B"/>
    <w:rsid w:val="003A68D4"/>
    <w:rsid w:val="003C2896"/>
    <w:rsid w:val="003E164D"/>
    <w:rsid w:val="003E26B9"/>
    <w:rsid w:val="003E38FF"/>
    <w:rsid w:val="003F5DE6"/>
    <w:rsid w:val="004060F7"/>
    <w:rsid w:val="00427A9E"/>
    <w:rsid w:val="00434A96"/>
    <w:rsid w:val="0044336F"/>
    <w:rsid w:val="004445A9"/>
    <w:rsid w:val="00444CB8"/>
    <w:rsid w:val="0045411E"/>
    <w:rsid w:val="00471335"/>
    <w:rsid w:val="00480E62"/>
    <w:rsid w:val="00483481"/>
    <w:rsid w:val="00485B30"/>
    <w:rsid w:val="004A693C"/>
    <w:rsid w:val="00501437"/>
    <w:rsid w:val="005060A2"/>
    <w:rsid w:val="005333BB"/>
    <w:rsid w:val="005401EE"/>
    <w:rsid w:val="005554BD"/>
    <w:rsid w:val="00557660"/>
    <w:rsid w:val="0056583E"/>
    <w:rsid w:val="0058000F"/>
    <w:rsid w:val="005831E4"/>
    <w:rsid w:val="005941EF"/>
    <w:rsid w:val="005B3B06"/>
    <w:rsid w:val="005C7B49"/>
    <w:rsid w:val="005D1C6C"/>
    <w:rsid w:val="005E5E86"/>
    <w:rsid w:val="005F3764"/>
    <w:rsid w:val="005F4973"/>
    <w:rsid w:val="00611149"/>
    <w:rsid w:val="006168F3"/>
    <w:rsid w:val="00641D52"/>
    <w:rsid w:val="00653F8A"/>
    <w:rsid w:val="00670A89"/>
    <w:rsid w:val="00671BAD"/>
    <w:rsid w:val="00681C59"/>
    <w:rsid w:val="006B1305"/>
    <w:rsid w:val="006B1691"/>
    <w:rsid w:val="006B7B49"/>
    <w:rsid w:val="006C103E"/>
    <w:rsid w:val="006C23B0"/>
    <w:rsid w:val="006C4BA1"/>
    <w:rsid w:val="006D0230"/>
    <w:rsid w:val="006F0329"/>
    <w:rsid w:val="006F7591"/>
    <w:rsid w:val="00703540"/>
    <w:rsid w:val="00707E4C"/>
    <w:rsid w:val="007314B7"/>
    <w:rsid w:val="00733B70"/>
    <w:rsid w:val="00734110"/>
    <w:rsid w:val="007C1F41"/>
    <w:rsid w:val="007C7379"/>
    <w:rsid w:val="007D48E4"/>
    <w:rsid w:val="007F4573"/>
    <w:rsid w:val="007F54E9"/>
    <w:rsid w:val="00801DDC"/>
    <w:rsid w:val="00803780"/>
    <w:rsid w:val="008104B1"/>
    <w:rsid w:val="0082726A"/>
    <w:rsid w:val="00836D34"/>
    <w:rsid w:val="00844129"/>
    <w:rsid w:val="008560B5"/>
    <w:rsid w:val="00857D4E"/>
    <w:rsid w:val="008640A4"/>
    <w:rsid w:val="00877571"/>
    <w:rsid w:val="0087783A"/>
    <w:rsid w:val="00884D5F"/>
    <w:rsid w:val="008918F6"/>
    <w:rsid w:val="008A479E"/>
    <w:rsid w:val="008A6E97"/>
    <w:rsid w:val="008B2E04"/>
    <w:rsid w:val="008E195F"/>
    <w:rsid w:val="008E3167"/>
    <w:rsid w:val="00901A6C"/>
    <w:rsid w:val="00904994"/>
    <w:rsid w:val="00912E51"/>
    <w:rsid w:val="00936376"/>
    <w:rsid w:val="00964827"/>
    <w:rsid w:val="00970998"/>
    <w:rsid w:val="00973D45"/>
    <w:rsid w:val="009750A1"/>
    <w:rsid w:val="00977519"/>
    <w:rsid w:val="00983329"/>
    <w:rsid w:val="00985EEA"/>
    <w:rsid w:val="009A08B5"/>
    <w:rsid w:val="009A55C0"/>
    <w:rsid w:val="009A5967"/>
    <w:rsid w:val="009B5211"/>
    <w:rsid w:val="009B6B80"/>
    <w:rsid w:val="009C2244"/>
    <w:rsid w:val="009E5E6D"/>
    <w:rsid w:val="00A15FA3"/>
    <w:rsid w:val="00A325CB"/>
    <w:rsid w:val="00A446B7"/>
    <w:rsid w:val="00A877D1"/>
    <w:rsid w:val="00A946AD"/>
    <w:rsid w:val="00AA0764"/>
    <w:rsid w:val="00AA0A24"/>
    <w:rsid w:val="00AA25E3"/>
    <w:rsid w:val="00AC1FBC"/>
    <w:rsid w:val="00AD4177"/>
    <w:rsid w:val="00AD5235"/>
    <w:rsid w:val="00AE0EC1"/>
    <w:rsid w:val="00AE1964"/>
    <w:rsid w:val="00B037E8"/>
    <w:rsid w:val="00B1491E"/>
    <w:rsid w:val="00B214E6"/>
    <w:rsid w:val="00B26B8B"/>
    <w:rsid w:val="00B3719F"/>
    <w:rsid w:val="00B3741A"/>
    <w:rsid w:val="00B55BAE"/>
    <w:rsid w:val="00B82E25"/>
    <w:rsid w:val="00BB3820"/>
    <w:rsid w:val="00BC117C"/>
    <w:rsid w:val="00BD3FD9"/>
    <w:rsid w:val="00BD48E1"/>
    <w:rsid w:val="00BD53EC"/>
    <w:rsid w:val="00BD660A"/>
    <w:rsid w:val="00BE6763"/>
    <w:rsid w:val="00BF7226"/>
    <w:rsid w:val="00C05A90"/>
    <w:rsid w:val="00C30E43"/>
    <w:rsid w:val="00C3693C"/>
    <w:rsid w:val="00C41255"/>
    <w:rsid w:val="00C505B0"/>
    <w:rsid w:val="00C507A9"/>
    <w:rsid w:val="00C60DDE"/>
    <w:rsid w:val="00C75555"/>
    <w:rsid w:val="00C913FB"/>
    <w:rsid w:val="00C9433A"/>
    <w:rsid w:val="00C96650"/>
    <w:rsid w:val="00CA3DA4"/>
    <w:rsid w:val="00CE3183"/>
    <w:rsid w:val="00CE57C7"/>
    <w:rsid w:val="00D00142"/>
    <w:rsid w:val="00D052C7"/>
    <w:rsid w:val="00D062D1"/>
    <w:rsid w:val="00D07DC1"/>
    <w:rsid w:val="00D07F7E"/>
    <w:rsid w:val="00D13041"/>
    <w:rsid w:val="00D153F3"/>
    <w:rsid w:val="00D162B1"/>
    <w:rsid w:val="00D172D4"/>
    <w:rsid w:val="00D24132"/>
    <w:rsid w:val="00D407E5"/>
    <w:rsid w:val="00D5023C"/>
    <w:rsid w:val="00D57B57"/>
    <w:rsid w:val="00D93B36"/>
    <w:rsid w:val="00DA0C29"/>
    <w:rsid w:val="00DA4AEB"/>
    <w:rsid w:val="00DA4C27"/>
    <w:rsid w:val="00DB34CC"/>
    <w:rsid w:val="00DB73D1"/>
    <w:rsid w:val="00DC3748"/>
    <w:rsid w:val="00DC4F4E"/>
    <w:rsid w:val="00DD5CDD"/>
    <w:rsid w:val="00DF1EA1"/>
    <w:rsid w:val="00E04009"/>
    <w:rsid w:val="00E17D6D"/>
    <w:rsid w:val="00E234F4"/>
    <w:rsid w:val="00E4425A"/>
    <w:rsid w:val="00E5037C"/>
    <w:rsid w:val="00E647AD"/>
    <w:rsid w:val="00E75485"/>
    <w:rsid w:val="00E9569B"/>
    <w:rsid w:val="00EA0977"/>
    <w:rsid w:val="00EA1520"/>
    <w:rsid w:val="00EA3F33"/>
    <w:rsid w:val="00EB4185"/>
    <w:rsid w:val="00EC54E8"/>
    <w:rsid w:val="00EC6531"/>
    <w:rsid w:val="00ED1131"/>
    <w:rsid w:val="00ED1B16"/>
    <w:rsid w:val="00ED4DB5"/>
    <w:rsid w:val="00EE64A3"/>
    <w:rsid w:val="00EE6787"/>
    <w:rsid w:val="00EF3A0E"/>
    <w:rsid w:val="00F31AA6"/>
    <w:rsid w:val="00F43F7A"/>
    <w:rsid w:val="00F53B98"/>
    <w:rsid w:val="00F61B1E"/>
    <w:rsid w:val="00F62DA7"/>
    <w:rsid w:val="00F727A3"/>
    <w:rsid w:val="00F73D69"/>
    <w:rsid w:val="00F84312"/>
    <w:rsid w:val="00FC1A96"/>
    <w:rsid w:val="00FC5181"/>
    <w:rsid w:val="00FD153E"/>
    <w:rsid w:val="00FD6EA3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0602"/>
  <w15:docId w15:val="{CC64DCB5-92C4-4FB3-A177-6A06F4C8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A075-BE0E-4B69-BCE0-44AF21A3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2023-05-19T10:21:00Z</cp:lastPrinted>
  <dcterms:created xsi:type="dcterms:W3CDTF">2024-02-01T10:36:00Z</dcterms:created>
  <dcterms:modified xsi:type="dcterms:W3CDTF">2024-02-14T10:32:00Z</dcterms:modified>
</cp:coreProperties>
</file>