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CA9D" w14:textId="113482BD" w:rsidR="0071367B" w:rsidRPr="003C7D40" w:rsidRDefault="002030A4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right" w:pos="9642"/>
        </w:tabs>
        <w:spacing w:after="5" w:line="250" w:lineRule="auto"/>
        <w:rPr>
          <w:color w:val="auto"/>
        </w:rPr>
      </w:pPr>
      <w:r w:rsidRPr="003C7D4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3C7D40">
        <w:rPr>
          <w:rFonts w:ascii="Times New Roman" w:eastAsia="Times New Roman" w:hAnsi="Times New Roman" w:cs="Times New Roman"/>
          <w:b/>
          <w:color w:val="auto"/>
        </w:rPr>
        <w:tab/>
      </w:r>
      <w:r w:rsidR="008000AB" w:rsidRPr="003C7D40">
        <w:rPr>
          <w:rFonts w:ascii="Corbel" w:eastAsia="Corbel" w:hAnsi="Corbel" w:cs="Corbel"/>
          <w:i/>
          <w:color w:val="auto"/>
          <w:sz w:val="24"/>
        </w:rPr>
        <w:t>Załącznik nr 1.5 do Zarządzenia Rektora UR  nr 7/2023</w:t>
      </w:r>
    </w:p>
    <w:p w14:paraId="6644D887" w14:textId="77777777" w:rsidR="0071367B" w:rsidRPr="003C7D40" w:rsidRDefault="002030A4">
      <w:pPr>
        <w:spacing w:after="0"/>
        <w:ind w:left="48"/>
        <w:jc w:val="center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7A3397AB" w14:textId="77777777" w:rsidR="0071367B" w:rsidRPr="003C7D40" w:rsidRDefault="002030A4">
      <w:pPr>
        <w:spacing w:after="0"/>
        <w:ind w:right="5"/>
        <w:jc w:val="center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SYLABUS </w:t>
      </w:r>
    </w:p>
    <w:p w14:paraId="284E7927" w14:textId="547A9EAC" w:rsidR="0071367B" w:rsidRPr="003C7D40" w:rsidRDefault="002030A4">
      <w:pPr>
        <w:pStyle w:val="Nagwek1"/>
        <w:rPr>
          <w:color w:val="auto"/>
        </w:rPr>
      </w:pPr>
      <w:r w:rsidRPr="003C7D40">
        <w:rPr>
          <w:color w:val="auto"/>
        </w:rPr>
        <w:t xml:space="preserve">DOTYCZY CYKLU KSZTAŁCENIA </w:t>
      </w:r>
      <w:r w:rsidRPr="003C7D40">
        <w:rPr>
          <w:b w:val="0"/>
          <w:i/>
          <w:color w:val="auto"/>
          <w:sz w:val="24"/>
        </w:rPr>
        <w:t>202</w:t>
      </w:r>
      <w:r w:rsidR="0053050B">
        <w:rPr>
          <w:b w:val="0"/>
          <w:i/>
          <w:color w:val="auto"/>
          <w:sz w:val="24"/>
        </w:rPr>
        <w:t>4</w:t>
      </w:r>
      <w:r w:rsidRPr="003C7D40">
        <w:rPr>
          <w:b w:val="0"/>
          <w:i/>
          <w:color w:val="auto"/>
          <w:sz w:val="24"/>
        </w:rPr>
        <w:t>/202</w:t>
      </w:r>
      <w:r w:rsidR="0053050B">
        <w:rPr>
          <w:b w:val="0"/>
          <w:i/>
          <w:color w:val="auto"/>
          <w:sz w:val="24"/>
        </w:rPr>
        <w:t>5</w:t>
      </w:r>
      <w:r w:rsidRPr="003C7D40">
        <w:rPr>
          <w:b w:val="0"/>
          <w:i/>
          <w:color w:val="auto"/>
        </w:rPr>
        <w:t xml:space="preserve"> </w:t>
      </w:r>
      <w:r w:rsidRPr="003C7D40">
        <w:rPr>
          <w:b w:val="0"/>
          <w:i/>
          <w:color w:val="auto"/>
          <w:sz w:val="24"/>
        </w:rPr>
        <w:t>–</w:t>
      </w:r>
      <w:r w:rsidRPr="003C7D40">
        <w:rPr>
          <w:b w:val="0"/>
          <w:i/>
          <w:color w:val="auto"/>
        </w:rPr>
        <w:t xml:space="preserve"> </w:t>
      </w:r>
      <w:r w:rsidRPr="003C7D40">
        <w:rPr>
          <w:b w:val="0"/>
          <w:i/>
          <w:color w:val="auto"/>
          <w:sz w:val="24"/>
        </w:rPr>
        <w:t>202</w:t>
      </w:r>
      <w:r w:rsidR="0053050B">
        <w:rPr>
          <w:b w:val="0"/>
          <w:i/>
          <w:color w:val="auto"/>
          <w:sz w:val="24"/>
        </w:rPr>
        <w:t>5</w:t>
      </w:r>
      <w:r w:rsidRPr="003C7D40">
        <w:rPr>
          <w:b w:val="0"/>
          <w:i/>
          <w:color w:val="auto"/>
          <w:sz w:val="24"/>
        </w:rPr>
        <w:t>/202</w:t>
      </w:r>
      <w:r w:rsidR="0053050B">
        <w:rPr>
          <w:b w:val="0"/>
          <w:i/>
          <w:color w:val="auto"/>
          <w:sz w:val="24"/>
        </w:rPr>
        <w:t>6</w:t>
      </w:r>
    </w:p>
    <w:p w14:paraId="54228F9C" w14:textId="77777777" w:rsidR="008000AB" w:rsidRPr="003C7D40" w:rsidRDefault="002030A4" w:rsidP="008000AB">
      <w:pPr>
        <w:spacing w:after="38" w:line="239" w:lineRule="auto"/>
        <w:ind w:left="3540" w:right="2508" w:firstLine="708"/>
        <w:rPr>
          <w:rFonts w:ascii="Corbel" w:eastAsia="Corbel" w:hAnsi="Corbel" w:cs="Corbel"/>
          <w:i/>
          <w:color w:val="auto"/>
          <w:sz w:val="20"/>
        </w:rPr>
      </w:pPr>
      <w:r w:rsidRPr="003C7D40">
        <w:rPr>
          <w:rFonts w:ascii="Corbel" w:eastAsia="Corbel" w:hAnsi="Corbel" w:cs="Corbel"/>
          <w:color w:val="auto"/>
          <w:sz w:val="20"/>
        </w:rPr>
        <w:t>(</w:t>
      </w:r>
      <w:r w:rsidRPr="003C7D40">
        <w:rPr>
          <w:rFonts w:ascii="Corbel" w:eastAsia="Corbel" w:hAnsi="Corbel" w:cs="Corbel"/>
          <w:i/>
          <w:color w:val="auto"/>
          <w:sz w:val="20"/>
        </w:rPr>
        <w:t>skrajne daty</w:t>
      </w:r>
      <w:r w:rsidRPr="003C7D40">
        <w:rPr>
          <w:rFonts w:ascii="Corbel" w:eastAsia="Corbel" w:hAnsi="Corbel" w:cs="Corbel"/>
          <w:color w:val="auto"/>
          <w:sz w:val="20"/>
        </w:rPr>
        <w:t>)</w:t>
      </w:r>
      <w:r w:rsidRPr="003C7D40">
        <w:rPr>
          <w:rFonts w:ascii="Corbel" w:eastAsia="Corbel" w:hAnsi="Corbel" w:cs="Corbel"/>
          <w:i/>
          <w:color w:val="auto"/>
          <w:sz w:val="20"/>
        </w:rPr>
        <w:t xml:space="preserve"> </w:t>
      </w:r>
    </w:p>
    <w:p w14:paraId="658A94B9" w14:textId="0211D459" w:rsidR="0071367B" w:rsidRPr="003C7D40" w:rsidRDefault="002030A4" w:rsidP="008000AB">
      <w:pPr>
        <w:spacing w:after="38" w:line="239" w:lineRule="auto"/>
        <w:ind w:left="3668" w:right="2508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0"/>
        </w:rPr>
        <w:t>Rok akademicki   202</w:t>
      </w:r>
      <w:r w:rsidR="00B2013E" w:rsidRPr="003C7D40">
        <w:rPr>
          <w:rFonts w:ascii="Corbel" w:eastAsia="Corbel" w:hAnsi="Corbel" w:cs="Corbel"/>
          <w:color w:val="auto"/>
          <w:sz w:val="20"/>
        </w:rPr>
        <w:t>5</w:t>
      </w:r>
      <w:r w:rsidRPr="003C7D40">
        <w:rPr>
          <w:rFonts w:ascii="Corbel" w:eastAsia="Corbel" w:hAnsi="Corbel" w:cs="Corbel"/>
          <w:color w:val="auto"/>
          <w:sz w:val="20"/>
        </w:rPr>
        <w:t>-202</w:t>
      </w:r>
      <w:r w:rsidR="00B2013E" w:rsidRPr="003C7D40">
        <w:rPr>
          <w:rFonts w:ascii="Corbel" w:eastAsia="Corbel" w:hAnsi="Corbel" w:cs="Corbel"/>
          <w:color w:val="auto"/>
          <w:sz w:val="20"/>
        </w:rPr>
        <w:t>6</w:t>
      </w:r>
    </w:p>
    <w:p w14:paraId="107868F5" w14:textId="77777777" w:rsidR="0071367B" w:rsidRPr="003C7D40" w:rsidRDefault="002030A4">
      <w:pPr>
        <w:spacing w:after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765F3A1F" w14:textId="77777777" w:rsidR="0071367B" w:rsidRPr="003C7D40" w:rsidRDefault="002030A4">
      <w:pPr>
        <w:spacing w:after="0"/>
        <w:ind w:left="-5" w:hanging="1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>1.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</w:t>
      </w:r>
      <w:r w:rsidRPr="003C7D40">
        <w:rPr>
          <w:rFonts w:ascii="Corbel" w:eastAsia="Corbel" w:hAnsi="Corbel" w:cs="Corbel"/>
          <w:b/>
          <w:color w:val="auto"/>
          <w:sz w:val="24"/>
        </w:rPr>
        <w:t>P</w:t>
      </w:r>
      <w:r w:rsidRPr="003C7D40">
        <w:rPr>
          <w:rFonts w:ascii="Corbel" w:eastAsia="Corbel" w:hAnsi="Corbel" w:cs="Corbel"/>
          <w:b/>
          <w:color w:val="auto"/>
          <w:sz w:val="19"/>
        </w:rPr>
        <w:t>ODSTAWOWE INFORMACJE O PRZEDMIOCIE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782" w:type="dxa"/>
        <w:tblInd w:w="-29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7089"/>
      </w:tblGrid>
      <w:tr w:rsidR="003C7D40" w:rsidRPr="003C7D40" w14:paraId="354244B0" w14:textId="77777777">
        <w:trPr>
          <w:trHeight w:val="3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D2A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przedmiotu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F4D" w14:textId="153DC3FF" w:rsidR="0071367B" w:rsidRPr="003C7D40" w:rsidRDefault="005C7063">
            <w:pPr>
              <w:ind w:left="3"/>
              <w:rPr>
                <w:rFonts w:ascii="Corbel" w:hAnsi="Corbel"/>
                <w:b/>
                <w:bCs/>
                <w:color w:val="auto"/>
                <w:sz w:val="24"/>
                <w:szCs w:val="24"/>
              </w:rPr>
            </w:pPr>
            <w:r w:rsidRPr="005C7063">
              <w:rPr>
                <w:rFonts w:ascii="Corbel" w:hAnsi="Corbel"/>
                <w:b/>
                <w:bCs/>
                <w:color w:val="auto"/>
                <w:sz w:val="24"/>
                <w:szCs w:val="24"/>
              </w:rPr>
              <w:t>Biotransformacja i detoksykacja ksenobiotyków</w:t>
            </w:r>
          </w:p>
        </w:tc>
      </w:tr>
      <w:tr w:rsidR="003C7D40" w:rsidRPr="003C7D40" w14:paraId="5C4E7603" w14:textId="77777777">
        <w:trPr>
          <w:trHeight w:val="3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1C1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Kod przedmiotu*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AD55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34AF7B3A" w14:textId="77777777">
        <w:trPr>
          <w:trHeight w:val="6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2CA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jednostki prowadzącej kierunek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DB28" w14:textId="2F024678" w:rsidR="0071367B" w:rsidRPr="003C7D40" w:rsidRDefault="005C7063">
            <w:pPr>
              <w:ind w:left="3"/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 xml:space="preserve">Collegium </w:t>
            </w:r>
            <w:proofErr w:type="spellStart"/>
            <w:r>
              <w:rPr>
                <w:rFonts w:ascii="Corbel" w:eastAsia="Corbel" w:hAnsi="Corbel" w:cs="Corbel"/>
                <w:color w:val="auto"/>
                <w:sz w:val="24"/>
              </w:rPr>
              <w:t>Medicum</w:t>
            </w:r>
            <w:proofErr w:type="spellEnd"/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77A87E30" w14:textId="77777777">
        <w:trPr>
          <w:trHeight w:val="5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36E9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Nazwa jednostki realizującej przedmiot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767D" w14:textId="491A30EA" w:rsidR="0071367B" w:rsidRPr="003C7D40" w:rsidRDefault="005C7063">
            <w:pPr>
              <w:ind w:left="3"/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>Wydział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Biotechnologii </w:t>
            </w:r>
          </w:p>
        </w:tc>
      </w:tr>
      <w:tr w:rsidR="003C7D40" w:rsidRPr="003C7D40" w14:paraId="25C73975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D0B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Kierunek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E29" w14:textId="4C0DE01A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Biotechnologia</w:t>
            </w:r>
          </w:p>
        </w:tc>
      </w:tr>
      <w:tr w:rsidR="003C7D40" w:rsidRPr="003C7D40" w14:paraId="4AFFE00C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F9D2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Poziom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F99" w14:textId="5165A8C2" w:rsidR="0071367B" w:rsidRPr="003C7D40" w:rsidRDefault="00175228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I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 stopień </w:t>
            </w:r>
          </w:p>
        </w:tc>
      </w:tr>
      <w:tr w:rsidR="003C7D40" w:rsidRPr="003C7D40" w14:paraId="36E73856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006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Profil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E29" w14:textId="77777777" w:rsidR="0071367B" w:rsidRPr="003C7D40" w:rsidRDefault="002030A4">
            <w:pPr>
              <w:ind w:left="3"/>
              <w:rPr>
                <w:color w:val="auto"/>
              </w:rPr>
            </w:pP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ogólnoakademicki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67DE066C" w14:textId="77777777">
        <w:trPr>
          <w:trHeight w:val="3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12FB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Forma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BEC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stacjonarne </w:t>
            </w:r>
          </w:p>
        </w:tc>
      </w:tr>
      <w:tr w:rsidR="003C7D40" w:rsidRPr="003C7D40" w14:paraId="1B369411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4755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Rok i semestr/y studiów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6983" w14:textId="7F261FA5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rok I, semestr </w:t>
            </w:r>
            <w:r w:rsidR="005C7063">
              <w:rPr>
                <w:rFonts w:ascii="Corbel" w:eastAsia="Corbel" w:hAnsi="Corbel" w:cs="Corbel"/>
                <w:color w:val="auto"/>
                <w:sz w:val="24"/>
              </w:rPr>
              <w:t>1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4E0E9C4B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22F9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Rodzaj przedmiotu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948" w14:textId="3E60132C" w:rsidR="0071367B" w:rsidRPr="003C7D40" w:rsidRDefault="00175228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Specjalnościowy do wyboru</w:t>
            </w:r>
          </w:p>
        </w:tc>
      </w:tr>
      <w:tr w:rsidR="003C7D40" w:rsidRPr="003C7D40" w14:paraId="63483980" w14:textId="77777777">
        <w:trPr>
          <w:trHeight w:val="3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A9F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Język wykładowy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346" w14:textId="77777777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polski </w:t>
            </w:r>
          </w:p>
        </w:tc>
      </w:tr>
      <w:tr w:rsidR="003C7D40" w:rsidRPr="003C7D40" w14:paraId="7F9B2FF1" w14:textId="77777777">
        <w:trPr>
          <w:trHeight w:val="3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D41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Koordynator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CF7" w14:textId="11F68DA6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dr hab. </w:t>
            </w:r>
            <w:r w:rsidR="00D8345E" w:rsidRPr="003C7D40">
              <w:rPr>
                <w:rFonts w:ascii="Corbel" w:eastAsia="Corbel" w:hAnsi="Corbel" w:cs="Corbel"/>
                <w:color w:val="auto"/>
                <w:sz w:val="24"/>
              </w:rPr>
              <w:t>Ewa Szpyrka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, prof. UR </w:t>
            </w:r>
          </w:p>
        </w:tc>
      </w:tr>
      <w:tr w:rsidR="003C7D40" w:rsidRPr="003C7D40" w14:paraId="3912962E" w14:textId="77777777">
        <w:trPr>
          <w:trHeight w:val="109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23F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Imię i nazwisko osoby prowadzącej / osób prowadzących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847" w14:textId="77777777" w:rsidR="00926EF6" w:rsidRPr="003C7D40" w:rsidRDefault="00926EF6">
            <w:pPr>
              <w:ind w:left="3" w:right="2587"/>
              <w:rPr>
                <w:rFonts w:ascii="Corbel" w:eastAsia="Corbel" w:hAnsi="Corbel" w:cs="Corbel"/>
                <w:color w:val="auto"/>
                <w:sz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Dr hab. Ewa Szpyrka,  prof. UR, </w:t>
            </w:r>
          </w:p>
          <w:p w14:paraId="17EEA3E7" w14:textId="570E83AE" w:rsidR="00175228" w:rsidRPr="003C7D40" w:rsidRDefault="00175228" w:rsidP="00926EF6">
            <w:pPr>
              <w:ind w:left="3" w:right="1851"/>
              <w:rPr>
                <w:color w:val="auto"/>
                <w:sz w:val="24"/>
                <w:szCs w:val="24"/>
              </w:rPr>
            </w:pPr>
            <w:r w:rsidRPr="003C7D40">
              <w:rPr>
                <w:color w:val="auto"/>
                <w:sz w:val="24"/>
                <w:szCs w:val="24"/>
              </w:rPr>
              <w:t xml:space="preserve">Dr </w:t>
            </w:r>
            <w:r w:rsidR="00B2013E" w:rsidRPr="003C7D40">
              <w:rPr>
                <w:color w:val="auto"/>
                <w:sz w:val="24"/>
                <w:szCs w:val="24"/>
              </w:rPr>
              <w:t>Magdalena Podbielska</w:t>
            </w:r>
          </w:p>
        </w:tc>
      </w:tr>
    </w:tbl>
    <w:p w14:paraId="19184492" w14:textId="77777777" w:rsidR="0071367B" w:rsidRPr="003C7D40" w:rsidRDefault="002030A4">
      <w:pPr>
        <w:spacing w:after="257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* </w:t>
      </w:r>
      <w:r w:rsidRPr="003C7D40">
        <w:rPr>
          <w:rFonts w:ascii="Corbel" w:eastAsia="Corbel" w:hAnsi="Corbel" w:cs="Corbel"/>
          <w:b/>
          <w:i/>
          <w:color w:val="auto"/>
          <w:sz w:val="24"/>
        </w:rPr>
        <w:t>-</w:t>
      </w:r>
      <w:r w:rsidRPr="003C7D40">
        <w:rPr>
          <w:rFonts w:ascii="Corbel" w:eastAsia="Corbel" w:hAnsi="Corbel" w:cs="Corbel"/>
          <w:i/>
          <w:color w:val="auto"/>
          <w:sz w:val="24"/>
        </w:rPr>
        <w:t>opcjonalni</w:t>
      </w:r>
      <w:r w:rsidRPr="003C7D40">
        <w:rPr>
          <w:rFonts w:ascii="Corbel" w:eastAsia="Corbel" w:hAnsi="Corbel" w:cs="Corbel"/>
          <w:color w:val="auto"/>
          <w:sz w:val="24"/>
        </w:rPr>
        <w:t>e,</w:t>
      </w:r>
      <w:r w:rsidRPr="003C7D40">
        <w:rPr>
          <w:rFonts w:ascii="Corbel" w:eastAsia="Corbel" w:hAnsi="Corbel" w:cs="Corbel"/>
          <w:b/>
          <w:i/>
          <w:color w:val="auto"/>
          <w:sz w:val="24"/>
        </w:rPr>
        <w:t xml:space="preserve"> </w:t>
      </w:r>
      <w:r w:rsidRPr="003C7D40">
        <w:rPr>
          <w:rFonts w:ascii="Corbel" w:eastAsia="Corbel" w:hAnsi="Corbel" w:cs="Corbel"/>
          <w:i/>
          <w:color w:val="auto"/>
          <w:sz w:val="24"/>
        </w:rPr>
        <w:t>zgodnie z ustaleniami w Jednostce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30B510E" w14:textId="77777777" w:rsidR="0071367B" w:rsidRPr="003C7D40" w:rsidRDefault="002030A4">
      <w:pPr>
        <w:pStyle w:val="Nagwek2"/>
        <w:spacing w:after="5" w:line="250" w:lineRule="auto"/>
        <w:ind w:left="279" w:hanging="10"/>
        <w:rPr>
          <w:color w:val="auto"/>
        </w:rPr>
      </w:pPr>
      <w:r w:rsidRPr="003C7D40">
        <w:rPr>
          <w:b/>
          <w:color w:val="auto"/>
          <w:sz w:val="24"/>
        </w:rPr>
        <w:t xml:space="preserve">1.1.Formy zajęć dydaktycznych, wymiar godzin i punktów ECTS  </w:t>
      </w:r>
    </w:p>
    <w:p w14:paraId="743172E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914"/>
        <w:gridCol w:w="788"/>
        <w:gridCol w:w="852"/>
        <w:gridCol w:w="799"/>
        <w:gridCol w:w="821"/>
        <w:gridCol w:w="763"/>
        <w:gridCol w:w="948"/>
        <w:gridCol w:w="1191"/>
        <w:gridCol w:w="1505"/>
      </w:tblGrid>
      <w:tr w:rsidR="003C7D40" w:rsidRPr="003C7D40" w14:paraId="3697CC68" w14:textId="77777777">
        <w:trPr>
          <w:trHeight w:val="8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180D" w14:textId="77777777" w:rsidR="0071367B" w:rsidRPr="003C7D40" w:rsidRDefault="002030A4">
            <w:pPr>
              <w:spacing w:after="97"/>
              <w:ind w:left="2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Semestr </w:t>
            </w:r>
          </w:p>
          <w:p w14:paraId="32D47D5F" w14:textId="77777777" w:rsidR="0071367B" w:rsidRPr="003C7D40" w:rsidRDefault="002030A4">
            <w:pPr>
              <w:ind w:right="4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(nr)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6667" w14:textId="77777777" w:rsidR="0071367B" w:rsidRPr="003C7D40" w:rsidRDefault="002030A4">
            <w:pPr>
              <w:ind w:left="70"/>
              <w:rPr>
                <w:color w:val="auto"/>
              </w:rPr>
            </w:pP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Wykł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3C70" w14:textId="77777777" w:rsidR="0071367B" w:rsidRPr="003C7D40" w:rsidRDefault="002030A4">
            <w:pPr>
              <w:ind w:left="96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3EF3" w14:textId="77777777" w:rsidR="0071367B" w:rsidRPr="003C7D40" w:rsidRDefault="002030A4">
            <w:pPr>
              <w:jc w:val="both"/>
              <w:rPr>
                <w:color w:val="auto"/>
              </w:rPr>
            </w:pP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Konw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B4D6" w14:textId="77777777" w:rsidR="0071367B" w:rsidRPr="003C7D40" w:rsidRDefault="002030A4">
            <w:pPr>
              <w:ind w:left="74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Lab.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62CE" w14:textId="77777777" w:rsidR="0071367B" w:rsidRPr="003C7D40" w:rsidRDefault="002030A4">
            <w:pPr>
              <w:ind w:left="48"/>
              <w:rPr>
                <w:color w:val="auto"/>
              </w:rPr>
            </w:pP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Sem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27AB" w14:textId="77777777" w:rsidR="0071367B" w:rsidRPr="003C7D40" w:rsidRDefault="002030A4">
            <w:pPr>
              <w:ind w:right="4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ZP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92C0" w14:textId="77777777" w:rsidR="0071367B" w:rsidRPr="003C7D40" w:rsidRDefault="002030A4">
            <w:pPr>
              <w:ind w:left="70"/>
              <w:rPr>
                <w:color w:val="auto"/>
              </w:rPr>
            </w:pP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Prakt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CDEF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Inne (jakie?)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F8CE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Liczba pkt. ECTS </w:t>
            </w:r>
          </w:p>
        </w:tc>
      </w:tr>
      <w:tr w:rsidR="003C7D40" w:rsidRPr="003C7D40" w14:paraId="4FAB6379" w14:textId="77777777">
        <w:trPr>
          <w:trHeight w:val="4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75E3" w14:textId="6FFC10A8" w:rsidR="0071367B" w:rsidRPr="003C7D40" w:rsidRDefault="00A764F8">
            <w:pPr>
              <w:ind w:right="42"/>
              <w:jc w:val="center"/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>1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9F0" w14:textId="77777777" w:rsidR="0071367B" w:rsidRPr="003C7D40" w:rsidRDefault="002030A4">
            <w:pPr>
              <w:ind w:right="48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15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B6B" w14:textId="77777777" w:rsidR="0071367B" w:rsidRPr="003C7D40" w:rsidRDefault="002030A4">
            <w:pPr>
              <w:ind w:right="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2E7" w14:textId="77777777" w:rsidR="0071367B" w:rsidRPr="003C7D40" w:rsidRDefault="002030A4">
            <w:pPr>
              <w:ind w:righ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B80" w14:textId="77777777" w:rsidR="0071367B" w:rsidRPr="003C7D40" w:rsidRDefault="002030A4">
            <w:pPr>
              <w:ind w:right="49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30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069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DDB" w14:textId="77777777" w:rsidR="0071367B" w:rsidRPr="003C7D40" w:rsidRDefault="002030A4">
            <w:pPr>
              <w:ind w:left="5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8A3" w14:textId="77777777" w:rsidR="0071367B" w:rsidRPr="003C7D40" w:rsidRDefault="002030A4">
            <w:pPr>
              <w:ind w:lef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A40" w14:textId="77777777" w:rsidR="0071367B" w:rsidRPr="003C7D40" w:rsidRDefault="002030A4">
            <w:pPr>
              <w:ind w:right="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35D1" w14:textId="7F0066C9" w:rsidR="0071367B" w:rsidRPr="003C7D40" w:rsidRDefault="009E64FC">
            <w:pPr>
              <w:ind w:right="4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</w:tbl>
    <w:p w14:paraId="7D13FCE8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02DA5C54" w14:textId="77777777" w:rsidR="0071367B" w:rsidRPr="003C7D40" w:rsidRDefault="002030A4">
      <w:pPr>
        <w:pStyle w:val="Nagwek3"/>
        <w:spacing w:after="112" w:line="250" w:lineRule="auto"/>
        <w:ind w:left="279" w:right="0"/>
        <w:rPr>
          <w:color w:val="auto"/>
        </w:rPr>
      </w:pPr>
      <w:r w:rsidRPr="003C7D40">
        <w:rPr>
          <w:color w:val="auto"/>
        </w:rPr>
        <w:t xml:space="preserve">1.2. Sposób realizacji zajęć  </w:t>
      </w:r>
      <w:r w:rsidRPr="003C7D40">
        <w:rPr>
          <w:b w:val="0"/>
          <w:color w:val="auto"/>
        </w:rPr>
        <w:t xml:space="preserve"> </w:t>
      </w:r>
    </w:p>
    <w:p w14:paraId="0E14A25D" w14:textId="77777777" w:rsidR="0071367B" w:rsidRPr="003C7D40" w:rsidRDefault="002030A4">
      <w:pPr>
        <w:numPr>
          <w:ilvl w:val="0"/>
          <w:numId w:val="1"/>
        </w:numPr>
        <w:spacing w:after="5" w:line="250" w:lineRule="auto"/>
        <w:ind w:left="615" w:right="91" w:hanging="262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zajęcia w formie tradycyjnej  </w:t>
      </w:r>
    </w:p>
    <w:p w14:paraId="48A584D5" w14:textId="5B975062" w:rsidR="0071367B" w:rsidRPr="003C7D40" w:rsidRDefault="00B2013E" w:rsidP="00B2013E">
      <w:pPr>
        <w:spacing w:after="0"/>
        <w:ind w:left="353" w:right="91"/>
        <w:rPr>
          <w:color w:val="auto"/>
        </w:rPr>
      </w:pPr>
      <w:r w:rsidRPr="003C7D40">
        <w:rPr>
          <w:rFonts w:ascii="Segoe UI Symbol" w:eastAsia="MS Gothic" w:hAnsi="Segoe UI Symbol" w:cs="Segoe UI Symbol"/>
          <w:color w:val="auto"/>
          <w:szCs w:val="24"/>
        </w:rPr>
        <w:t>☐</w:t>
      </w:r>
      <w:r w:rsidRPr="003C7D40">
        <w:rPr>
          <w:rFonts w:ascii="Corbel" w:hAnsi="Corbel"/>
          <w:color w:val="auto"/>
          <w:szCs w:val="24"/>
        </w:rPr>
        <w:t xml:space="preserve"> </w:t>
      </w:r>
      <w:r w:rsidR="002030A4" w:rsidRPr="003C7D40">
        <w:rPr>
          <w:rFonts w:ascii="Corbel" w:eastAsia="Corbel" w:hAnsi="Corbel" w:cs="Corbel"/>
          <w:color w:val="auto"/>
          <w:sz w:val="24"/>
        </w:rPr>
        <w:t xml:space="preserve">zajęcia realizowane z wykorzystaniem metod i technik kształcenia na odległość </w:t>
      </w:r>
    </w:p>
    <w:p w14:paraId="10E5AEF5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6759CBB" w14:textId="77777777" w:rsidR="0071367B" w:rsidRPr="003C7D40" w:rsidRDefault="002030A4">
      <w:pPr>
        <w:spacing w:after="130"/>
        <w:ind w:right="62"/>
        <w:jc w:val="right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1.3  Forma zaliczenia przedmiotu (z toku) </w:t>
      </w:r>
      <w:r w:rsidRPr="003C7D40">
        <w:rPr>
          <w:rFonts w:ascii="Corbel" w:eastAsia="Corbel" w:hAnsi="Corbel" w:cs="Corbel"/>
          <w:color w:val="auto"/>
          <w:sz w:val="24"/>
        </w:rPr>
        <w:t>(egzamin, zaliczenie z oceną, zaliczenie bez oceny)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790AA6D2" w14:textId="2C60B8B7" w:rsidR="0071367B" w:rsidRPr="003C7D40" w:rsidRDefault="002030A4">
      <w:pPr>
        <w:pStyle w:val="Nagwek2"/>
        <w:rPr>
          <w:color w:val="auto"/>
        </w:rPr>
      </w:pPr>
      <w:r w:rsidRPr="003C7D40">
        <w:rPr>
          <w:color w:val="auto"/>
          <w:sz w:val="24"/>
        </w:rPr>
        <w:t>Ć</w:t>
      </w:r>
      <w:r w:rsidRPr="003C7D40">
        <w:rPr>
          <w:color w:val="auto"/>
        </w:rPr>
        <w:t xml:space="preserve">WICZENIA LABORATORYJNE </w:t>
      </w:r>
      <w:r w:rsidRPr="003C7D40">
        <w:rPr>
          <w:color w:val="auto"/>
          <w:sz w:val="24"/>
        </w:rPr>
        <w:t>–</w:t>
      </w:r>
      <w:r w:rsidRPr="003C7D40">
        <w:rPr>
          <w:color w:val="auto"/>
        </w:rPr>
        <w:t xml:space="preserve"> ZALICZENIE Z OCENĄ</w:t>
      </w:r>
      <w:r w:rsidRPr="003C7D40">
        <w:rPr>
          <w:color w:val="auto"/>
          <w:sz w:val="24"/>
        </w:rPr>
        <w:t>,</w:t>
      </w:r>
      <w:r w:rsidRPr="003C7D40">
        <w:rPr>
          <w:color w:val="auto"/>
        </w:rPr>
        <w:t xml:space="preserve"> </w:t>
      </w:r>
      <w:r w:rsidRPr="003C7D40">
        <w:rPr>
          <w:color w:val="auto"/>
          <w:sz w:val="24"/>
        </w:rPr>
        <w:t>W</w:t>
      </w:r>
      <w:r w:rsidRPr="003C7D40">
        <w:rPr>
          <w:color w:val="auto"/>
        </w:rPr>
        <w:t xml:space="preserve">YKŁAD </w:t>
      </w:r>
      <w:r w:rsidRPr="003C7D40">
        <w:rPr>
          <w:color w:val="auto"/>
          <w:sz w:val="24"/>
        </w:rPr>
        <w:t>–</w:t>
      </w:r>
      <w:r w:rsidRPr="003C7D40">
        <w:rPr>
          <w:color w:val="auto"/>
        </w:rPr>
        <w:t xml:space="preserve"> </w:t>
      </w:r>
      <w:r w:rsidR="00A764F8">
        <w:rPr>
          <w:color w:val="auto"/>
        </w:rPr>
        <w:t>EGZAMIN</w:t>
      </w:r>
      <w:r w:rsidRPr="003C7D40">
        <w:rPr>
          <w:color w:val="auto"/>
          <w:sz w:val="24"/>
        </w:rPr>
        <w:t xml:space="preserve"> </w:t>
      </w:r>
    </w:p>
    <w:p w14:paraId="28AEADEB" w14:textId="77777777" w:rsidR="0071367B" w:rsidRPr="003C7D40" w:rsidRDefault="002030A4">
      <w:pPr>
        <w:spacing w:after="7"/>
        <w:ind w:left="708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5052CBF0" w14:textId="77777777" w:rsidR="0071367B" w:rsidRPr="003C7D40" w:rsidRDefault="002030A4">
      <w:pPr>
        <w:spacing w:after="158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lastRenderedPageBreak/>
        <w:t>2.W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YMAGANIA WSTĘPNE 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13669F8A" w14:textId="114FE56B" w:rsidR="0071367B" w:rsidRPr="003C7D40" w:rsidRDefault="002030A4" w:rsidP="00B201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9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>Znajomość podstawowych zagadnień z zakresu chemii, biochemii</w:t>
      </w:r>
      <w:r w:rsidR="00B2013E" w:rsidRPr="003C7D40">
        <w:rPr>
          <w:rFonts w:ascii="Corbel" w:eastAsia="Corbel" w:hAnsi="Corbel" w:cs="Corbel"/>
          <w:color w:val="auto"/>
          <w:sz w:val="24"/>
        </w:rPr>
        <w:t>, biotechnologii</w:t>
      </w:r>
      <w:r w:rsidR="00A764F8">
        <w:rPr>
          <w:rFonts w:ascii="Corbel" w:eastAsia="Corbel" w:hAnsi="Corbel" w:cs="Corbel"/>
          <w:color w:val="auto"/>
          <w:sz w:val="24"/>
        </w:rPr>
        <w:t>, toksykologii</w:t>
      </w:r>
      <w:r w:rsidRPr="003C7D40">
        <w:rPr>
          <w:rFonts w:ascii="Corbel" w:eastAsia="Corbel" w:hAnsi="Corbel" w:cs="Corbel"/>
          <w:color w:val="auto"/>
          <w:sz w:val="24"/>
        </w:rPr>
        <w:t xml:space="preserve"> oraz technik laboratoryjnych </w:t>
      </w:r>
    </w:p>
    <w:p w14:paraId="63033371" w14:textId="77777777" w:rsidR="0071367B" w:rsidRPr="003C7D40" w:rsidRDefault="002030A4">
      <w:pPr>
        <w:spacing w:after="13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CD96CBE" w14:textId="77777777" w:rsidR="0071367B" w:rsidRPr="003C7D40" w:rsidRDefault="002030A4">
      <w:pPr>
        <w:spacing w:after="0"/>
        <w:ind w:left="-5" w:hanging="1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>3.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CELE</w:t>
      </w:r>
      <w:r w:rsidRPr="003C7D40">
        <w:rPr>
          <w:rFonts w:ascii="Corbel" w:eastAsia="Corbel" w:hAnsi="Corbel" w:cs="Corbel"/>
          <w:b/>
          <w:color w:val="auto"/>
          <w:sz w:val="24"/>
        </w:rPr>
        <w:t>,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EFEKTY UCZENIA SIĘ</w:t>
      </w:r>
      <w:r w:rsidRPr="003C7D40">
        <w:rPr>
          <w:rFonts w:ascii="Corbel" w:eastAsia="Corbel" w:hAnsi="Corbel" w:cs="Corbel"/>
          <w:b/>
          <w:color w:val="auto"/>
          <w:sz w:val="24"/>
        </w:rPr>
        <w:t>,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 TREŚCI </w:t>
      </w:r>
      <w:r w:rsidRPr="003C7D40">
        <w:rPr>
          <w:rFonts w:ascii="Corbel" w:eastAsia="Corbel" w:hAnsi="Corbel" w:cs="Corbel"/>
          <w:b/>
          <w:color w:val="auto"/>
          <w:sz w:val="24"/>
        </w:rPr>
        <w:t>P</w:t>
      </w:r>
      <w:r w:rsidRPr="003C7D40">
        <w:rPr>
          <w:rFonts w:ascii="Corbel" w:eastAsia="Corbel" w:hAnsi="Corbel" w:cs="Corbel"/>
          <w:b/>
          <w:color w:val="auto"/>
          <w:sz w:val="19"/>
        </w:rPr>
        <w:t xml:space="preserve">ROGRAMOWE I STOSOWANE METODY </w:t>
      </w:r>
      <w:r w:rsidRPr="003C7D40">
        <w:rPr>
          <w:rFonts w:ascii="Corbel" w:eastAsia="Corbel" w:hAnsi="Corbel" w:cs="Corbel"/>
          <w:b/>
          <w:color w:val="auto"/>
          <w:sz w:val="24"/>
        </w:rPr>
        <w:t>D</w:t>
      </w:r>
      <w:r w:rsidRPr="003C7D40">
        <w:rPr>
          <w:rFonts w:ascii="Corbel" w:eastAsia="Corbel" w:hAnsi="Corbel" w:cs="Corbel"/>
          <w:b/>
          <w:color w:val="auto"/>
          <w:sz w:val="19"/>
        </w:rPr>
        <w:t>YDAKTYCZNE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C2D5DB7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4370DACB" w14:textId="77777777" w:rsidR="0071367B" w:rsidRPr="003C7D40" w:rsidRDefault="002030A4">
      <w:pPr>
        <w:pStyle w:val="Nagwek3"/>
        <w:ind w:left="370" w:right="0"/>
        <w:rPr>
          <w:color w:val="auto"/>
        </w:rPr>
      </w:pPr>
      <w:r w:rsidRPr="003C7D40">
        <w:rPr>
          <w:color w:val="auto"/>
        </w:rPr>
        <w:t xml:space="preserve">3.1 Cele przedmiotu </w:t>
      </w:r>
    </w:p>
    <w:tbl>
      <w:tblPr>
        <w:tblStyle w:val="TableGrid"/>
        <w:tblW w:w="9523" w:type="dxa"/>
        <w:tblInd w:w="113" w:type="dxa"/>
        <w:tblCellMar>
          <w:top w:w="95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845"/>
        <w:gridCol w:w="8678"/>
      </w:tblGrid>
      <w:tr w:rsidR="003C7D40" w:rsidRPr="003C7D40" w14:paraId="6BF8FA0F" w14:textId="77777777" w:rsidTr="00AF5B6B">
        <w:trPr>
          <w:trHeight w:val="7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91E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C1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28E7" w14:textId="5CFB42ED" w:rsidR="00701B85" w:rsidRPr="003C7D40" w:rsidRDefault="00CB4ECD" w:rsidP="00701B85">
            <w:pPr>
              <w:ind w:right="97"/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>S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tudent</w:t>
            </w:r>
            <w:r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701B85">
              <w:rPr>
                <w:rFonts w:ascii="Corbel" w:eastAsia="Corbel" w:hAnsi="Corbel" w:cs="Corbel"/>
                <w:color w:val="auto"/>
                <w:sz w:val="24"/>
              </w:rPr>
              <w:t>p</w:t>
            </w:r>
            <w:r w:rsidR="00701B85" w:rsidRPr="00701B85">
              <w:rPr>
                <w:rFonts w:ascii="Corbel" w:eastAsia="Corbel" w:hAnsi="Corbel" w:cs="Corbel"/>
                <w:color w:val="auto"/>
                <w:sz w:val="24"/>
              </w:rPr>
              <w:t>osiada wiedzę w zakresie znajomości ksenobiotyków, ich losów w środowisku, czynników wpływających na ich rozkład. Zna mechanizmy ich biotransformacji i detoksykacji oraz czynniki wpływające na te procesy.</w:t>
            </w:r>
            <w:r w:rsidR="00701B85">
              <w:t xml:space="preserve"> </w:t>
            </w:r>
            <w:r w:rsidR="00701B85" w:rsidRPr="00701B85">
              <w:rPr>
                <w:rFonts w:ascii="Corbel" w:eastAsia="Corbel" w:hAnsi="Corbel" w:cs="Corbel"/>
                <w:color w:val="auto"/>
                <w:sz w:val="24"/>
              </w:rPr>
              <w:t>Student zna i potrafi ocenić metody biotechnologiczne stosowane do usuwania/rozkładu zanieczyszczeń.</w:t>
            </w:r>
          </w:p>
        </w:tc>
      </w:tr>
      <w:tr w:rsidR="003C7D40" w:rsidRPr="003C7D40" w14:paraId="641DBAB8" w14:textId="77777777" w:rsidTr="00AF5B6B">
        <w:trPr>
          <w:trHeight w:val="59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10FA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C2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26A7" w14:textId="0529A709" w:rsidR="0071367B" w:rsidRPr="003C7D40" w:rsidRDefault="00701B85" w:rsidP="00AF5B6B">
            <w:pPr>
              <w:rPr>
                <w:color w:val="auto"/>
              </w:rPr>
            </w:pPr>
            <w:r w:rsidRPr="00701B85">
              <w:rPr>
                <w:rFonts w:ascii="Corbel" w:eastAsia="Corbel" w:hAnsi="Corbel" w:cs="Corbel"/>
                <w:color w:val="auto"/>
                <w:sz w:val="24"/>
              </w:rPr>
              <w:t xml:space="preserve">Student zna metody oznaczania skażeń środowiska oraz ich metabolitów, w tym sposoby pobierania próbek, przygotowania ich do analizy oraz wykonania </w:t>
            </w:r>
            <w:r w:rsidR="00D80A1B">
              <w:rPr>
                <w:rFonts w:ascii="Corbel" w:eastAsia="Corbel" w:hAnsi="Corbel" w:cs="Corbel"/>
                <w:color w:val="auto"/>
                <w:sz w:val="24"/>
              </w:rPr>
              <w:t>oznaczeń</w:t>
            </w:r>
            <w:r>
              <w:rPr>
                <w:rFonts w:ascii="Corbel" w:eastAsia="Corbel" w:hAnsi="Corbel" w:cs="Corbel"/>
                <w:color w:val="auto"/>
                <w:sz w:val="24"/>
              </w:rPr>
              <w:t>.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Student potrafi ocenić korzyści i wady wynikające ze stosowania poszczególnych technik.</w:t>
            </w:r>
          </w:p>
        </w:tc>
      </w:tr>
      <w:tr w:rsidR="003C7D40" w:rsidRPr="003C7D40" w14:paraId="01D44532" w14:textId="77777777" w:rsidTr="00AF5B6B">
        <w:trPr>
          <w:trHeight w:val="8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0DD1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C3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71F" w14:textId="6BCF0D7D" w:rsidR="0071367B" w:rsidRPr="003C7D40" w:rsidRDefault="00701B85" w:rsidP="00AF5B6B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Student jest gotów do prawidłowej identyfikacji i doboru technik do rozstrzygania problemów naukowych.</w:t>
            </w:r>
          </w:p>
        </w:tc>
      </w:tr>
    </w:tbl>
    <w:p w14:paraId="0D39367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66EA5521" w14:textId="77777777" w:rsidR="0071367B" w:rsidRPr="003C7D40" w:rsidRDefault="002030A4">
      <w:pPr>
        <w:pStyle w:val="Nagwek3"/>
        <w:ind w:left="438" w:right="0"/>
        <w:rPr>
          <w:color w:val="auto"/>
        </w:rPr>
      </w:pPr>
      <w:r w:rsidRPr="003C7D40">
        <w:rPr>
          <w:color w:val="auto"/>
        </w:rPr>
        <w:t>3.2 Efekty uczenia się dla przedmiotu</w:t>
      </w:r>
      <w:r w:rsidRPr="003C7D40">
        <w:rPr>
          <w:b w:val="0"/>
          <w:color w:val="auto"/>
        </w:rPr>
        <w:t xml:space="preserve">  </w:t>
      </w:r>
    </w:p>
    <w:tbl>
      <w:tblPr>
        <w:tblStyle w:val="TableGrid"/>
        <w:tblW w:w="9523" w:type="dxa"/>
        <w:tblInd w:w="113" w:type="dxa"/>
        <w:tblCellMar>
          <w:top w:w="57" w:type="dxa"/>
          <w:left w:w="84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5975"/>
        <w:gridCol w:w="1865"/>
      </w:tblGrid>
      <w:tr w:rsidR="003C7D40" w:rsidRPr="003C7D40" w14:paraId="00B0A864" w14:textId="77777777">
        <w:trPr>
          <w:trHeight w:val="89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C926" w14:textId="77777777" w:rsidR="0071367B" w:rsidRPr="003C7D40" w:rsidRDefault="002030A4">
            <w:pPr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  <w:szCs w:val="24"/>
              </w:rPr>
              <w:t>EK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(efekt uczenia się)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A1CD" w14:textId="77777777" w:rsidR="0071367B" w:rsidRPr="003C7D40" w:rsidRDefault="002030A4">
            <w:pPr>
              <w:ind w:right="101"/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Treść efektu uczenia się zdefiniowanego dla przedmiotu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DFF" w14:textId="77777777" w:rsidR="0071367B" w:rsidRPr="003C7D40" w:rsidRDefault="002030A4">
            <w:pPr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Odniesienie do efektów kierunkowych 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  <w:vertAlign w:val="superscript"/>
              </w:rPr>
              <w:footnoteReference w:id="1"/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</w:p>
        </w:tc>
      </w:tr>
      <w:tr w:rsidR="003C7D40" w:rsidRPr="003C7D40" w14:paraId="434257EA" w14:textId="77777777" w:rsidTr="00FE2E4C">
        <w:trPr>
          <w:trHeight w:val="22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B542" w14:textId="77777777" w:rsidR="0071367B" w:rsidRPr="003C7D40" w:rsidRDefault="002030A4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EK_01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6FE8" w14:textId="01CC87E6" w:rsidR="0071367B" w:rsidRPr="003C7D40" w:rsidRDefault="002030A4" w:rsidP="00FE2E4C">
            <w:pPr>
              <w:ind w:right="9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Student posiada wiedzę w zakresie </w:t>
            </w:r>
            <w:r w:rsidR="00A764F8">
              <w:rPr>
                <w:rFonts w:ascii="Corbel" w:eastAsia="Corbel" w:hAnsi="Corbel" w:cs="Corbel"/>
                <w:color w:val="auto"/>
                <w:sz w:val="24"/>
                <w:szCs w:val="24"/>
              </w:rPr>
              <w:t>znajomości ksenobiotyków, ich losów w środowisku, czynników wpływających na ich rozkład. Zna mechanizmy ich biotransformacji i detoksykacji oraz czynniki wpływające na te procesy.</w:t>
            </w:r>
            <w:r w:rsidR="005061C3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A131" w14:textId="77777777" w:rsidR="00A764F8" w:rsidRPr="00D80A1B" w:rsidRDefault="00A764F8" w:rsidP="00A764F8">
            <w:pPr>
              <w:ind w:left="97" w:right="145"/>
              <w:jc w:val="center"/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  <w:p w14:paraId="34AAAC8C" w14:textId="46702393" w:rsidR="00A764F8" w:rsidRPr="00D80A1B" w:rsidRDefault="005061C3" w:rsidP="005061C3">
            <w:pPr>
              <w:ind w:left="97" w:right="145"/>
              <w:jc w:val="center"/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K_W03</w:t>
            </w:r>
          </w:p>
          <w:p w14:paraId="1967EED6" w14:textId="53D5FB36" w:rsidR="0071367B" w:rsidRPr="00D80A1B" w:rsidRDefault="0071367B" w:rsidP="00FE2E4C">
            <w:pPr>
              <w:ind w:left="97" w:right="145"/>
              <w:jc w:val="center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</w:p>
        </w:tc>
      </w:tr>
      <w:tr w:rsidR="003C7D40" w:rsidRPr="003C7D40" w14:paraId="4A8F1C8D" w14:textId="77777777" w:rsidTr="00C77CE6">
        <w:trPr>
          <w:trHeight w:val="162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ADF0" w14:textId="2822264D" w:rsidR="00DB1306" w:rsidRPr="003C7D40" w:rsidRDefault="00A77BCA">
            <w:pPr>
              <w:ind w:left="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EK_02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BB09" w14:textId="29F9C383" w:rsidR="00DB1306" w:rsidRPr="003C7D40" w:rsidRDefault="00880E18" w:rsidP="00FE2E4C">
            <w:pPr>
              <w:ind w:right="9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Student zna metody oznaczania skażeń </w:t>
            </w:r>
            <w:r w:rsidR="00A764F8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środowiska</w:t>
            </w:r>
            <w:r w:rsidR="00A764F8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oraz ich metabolitów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, w tym sposoby pobierania próbek, przygotowania ich do analizy oraz wykonania analiz (techniki instrumentalne, klasyczne oraz biologiczne).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22DB" w14:textId="7AF67C70" w:rsidR="00DB1306" w:rsidRPr="00D80A1B" w:rsidRDefault="00880E18" w:rsidP="00FE2E4C">
            <w:pPr>
              <w:ind w:right="145"/>
              <w:jc w:val="center"/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K_W04</w:t>
            </w:r>
          </w:p>
        </w:tc>
      </w:tr>
      <w:tr w:rsidR="003C7D40" w:rsidRPr="003C7D40" w14:paraId="5CDC65BE" w14:textId="77777777" w:rsidTr="00C77CE6">
        <w:trPr>
          <w:trHeight w:val="169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937B" w14:textId="3FD62903" w:rsidR="0071367B" w:rsidRPr="003C7D40" w:rsidRDefault="002030A4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</w:t>
            </w:r>
            <w:r w:rsidR="00A77BCA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FF7" w14:textId="3570B47F" w:rsidR="005061C3" w:rsidRPr="003C7D40" w:rsidRDefault="005061C3" w:rsidP="00FE2E4C">
            <w:pPr>
              <w:ind w:right="94"/>
              <w:rPr>
                <w:rFonts w:ascii="Corbel" w:hAnsi="Corbel"/>
                <w:color w:val="auto"/>
                <w:sz w:val="24"/>
                <w:szCs w:val="24"/>
              </w:rPr>
            </w:pPr>
            <w:r>
              <w:rPr>
                <w:rFonts w:ascii="Corbel" w:eastAsia="Corbel" w:hAnsi="Corbel" w:cs="Corbel"/>
                <w:color w:val="auto"/>
                <w:sz w:val="24"/>
                <w:szCs w:val="24"/>
              </w:rPr>
              <w:t>Student zna i potrafi ocenić metody biotechnologiczne stosowane do usuwania/rozkładu zanieczyszczeń.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3A3" w14:textId="77777777" w:rsidR="00880E18" w:rsidRPr="00D80A1B" w:rsidRDefault="00880E18" w:rsidP="00FE2E4C">
            <w:pPr>
              <w:jc w:val="center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K_W05</w:t>
            </w:r>
          </w:p>
          <w:p w14:paraId="5AAB2171" w14:textId="77777777" w:rsidR="0071367B" w:rsidRPr="00D80A1B" w:rsidRDefault="00880E18" w:rsidP="00FE2E4C">
            <w:pPr>
              <w:jc w:val="center"/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K_W09</w:t>
            </w:r>
          </w:p>
          <w:p w14:paraId="4310215B" w14:textId="3FC94650" w:rsidR="005061C3" w:rsidRPr="00D80A1B" w:rsidRDefault="005061C3" w:rsidP="005061C3">
            <w:pPr>
              <w:ind w:left="97" w:right="145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K_K01</w:t>
            </w:r>
          </w:p>
        </w:tc>
      </w:tr>
      <w:tr w:rsidR="003C7D40" w:rsidRPr="003C7D40" w14:paraId="1E13A9C0" w14:textId="77777777" w:rsidTr="00FE2E4C">
        <w:trPr>
          <w:trHeight w:val="9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C31F" w14:textId="7EE1DAAA" w:rsidR="00DB1306" w:rsidRPr="003C7D40" w:rsidRDefault="00A77BCA">
            <w:pPr>
              <w:ind w:left="3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lastRenderedPageBreak/>
              <w:t>EK_04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2314" w14:textId="413DAE55" w:rsidR="00DB1306" w:rsidRPr="003C7D40" w:rsidRDefault="00880E18" w:rsidP="00FE2E4C">
            <w:pPr>
              <w:ind w:right="96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Student wykorzystuje aktualną wiedzę</w:t>
            </w:r>
            <w:r w:rsidR="00FE2E4C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, w tym w j. ang., 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w zakresie technik </w:t>
            </w:r>
            <w:r w:rsidR="00A764F8">
              <w:rPr>
                <w:rFonts w:ascii="Corbel" w:eastAsia="Corbel" w:hAnsi="Corbel" w:cs="Corbel"/>
                <w:color w:val="auto"/>
                <w:sz w:val="24"/>
                <w:szCs w:val="24"/>
              </w:rPr>
              <w:t>analitycznych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do identyfikacji </w:t>
            </w:r>
            <w:r w:rsidR="00A764F8">
              <w:rPr>
                <w:rFonts w:ascii="Corbel" w:eastAsia="Corbel" w:hAnsi="Corbel" w:cs="Corbel"/>
                <w:color w:val="auto"/>
                <w:sz w:val="24"/>
                <w:szCs w:val="24"/>
              </w:rPr>
              <w:t>i analizy ksenobiotyków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. Wykonuje oznaczanie wybranych skażeń środowiska.</w:t>
            </w:r>
            <w:r w:rsidR="00FE2E4C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 </w:t>
            </w:r>
            <w:r w:rsidR="00FE2E4C" w:rsidRPr="005061C3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Potrafi przedstawić korzyści wynikające </w:t>
            </w:r>
            <w:r w:rsidR="00FE2E4C" w:rsidRPr="005061C3">
              <w:rPr>
                <w:rFonts w:ascii="Corbel" w:hAnsi="Corbel"/>
                <w:color w:val="auto"/>
                <w:sz w:val="24"/>
                <w:szCs w:val="24"/>
              </w:rPr>
              <w:t>ze stosowania poszczególnych technik</w:t>
            </w:r>
            <w:r w:rsidR="00FE2E4C" w:rsidRPr="00A764F8">
              <w:rPr>
                <w:rFonts w:ascii="Corbel" w:hAnsi="Corbe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6D2F" w14:textId="083A189B" w:rsidR="00880E18" w:rsidRPr="00D80A1B" w:rsidRDefault="00FE2E4C" w:rsidP="00FE2E4C">
            <w:pPr>
              <w:jc w:val="center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K_U01, K_U06, K_U07</w:t>
            </w:r>
          </w:p>
        </w:tc>
      </w:tr>
      <w:tr w:rsidR="003C7D40" w:rsidRPr="003C7D40" w14:paraId="2815E63C" w14:textId="77777777" w:rsidTr="00FE2E4C">
        <w:trPr>
          <w:trHeight w:val="158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105" w14:textId="32704238" w:rsidR="00FE2E4C" w:rsidRPr="003C7D40" w:rsidRDefault="00FE2E4C" w:rsidP="00FE2E4C">
            <w:pPr>
              <w:ind w:left="3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EK_05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CBE0" w14:textId="59C13B82" w:rsidR="00FE2E4C" w:rsidRPr="003C7D40" w:rsidRDefault="00FE2E4C" w:rsidP="00FE2E4C">
            <w:pPr>
              <w:ind w:right="96"/>
              <w:rPr>
                <w:rFonts w:ascii="Corbel" w:hAnsi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Posługuje się podstawowym sprzętem i aparaturą laboratoryjną. Wykonuje analizy ilościowe i jakościowe z zakresu </w:t>
            </w:r>
            <w:r w:rsidR="00102A72"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identyfikacji zagrożeń środowiskowych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. Analizuje uzyskane wyniki, wykonuje obliczenia z zakresu prowadzonych analiz</w:t>
            </w:r>
            <w:r w:rsidR="005061C3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, ocenę statystyczną </w:t>
            </w: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>oraz wyprowadza wnioski.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2031" w14:textId="50282CE4" w:rsidR="005061C3" w:rsidRPr="00D80A1B" w:rsidRDefault="00FE2E4C" w:rsidP="005061C3">
            <w:pPr>
              <w:ind w:left="97" w:right="145"/>
              <w:jc w:val="center"/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K_W02,</w:t>
            </w:r>
            <w:r w:rsidR="00102A72"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061C3"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K_K04,</w:t>
            </w:r>
          </w:p>
          <w:p w14:paraId="6BDD6919" w14:textId="55F5C234" w:rsidR="00FE2E4C" w:rsidRPr="00D80A1B" w:rsidRDefault="00102A72" w:rsidP="00A764F8">
            <w:pPr>
              <w:ind w:right="148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K_U08</w:t>
            </w:r>
          </w:p>
        </w:tc>
      </w:tr>
    </w:tbl>
    <w:p w14:paraId="6223FF7D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1A0D5B05" w14:textId="77777777" w:rsidR="0071367B" w:rsidRPr="003C7D40" w:rsidRDefault="002030A4">
      <w:pPr>
        <w:pStyle w:val="Nagwek3"/>
        <w:spacing w:after="144" w:line="250" w:lineRule="auto"/>
        <w:ind w:left="435" w:right="0"/>
        <w:rPr>
          <w:color w:val="auto"/>
        </w:rPr>
      </w:pPr>
      <w:r w:rsidRPr="003C7D40">
        <w:rPr>
          <w:color w:val="auto"/>
        </w:rPr>
        <w:t xml:space="preserve">3.3 Treści programowe </w:t>
      </w:r>
      <w:r w:rsidRPr="003C7D40">
        <w:rPr>
          <w:b w:val="0"/>
          <w:color w:val="auto"/>
        </w:rPr>
        <w:t xml:space="preserve">  </w:t>
      </w:r>
      <w:r w:rsidRPr="003C7D40">
        <w:rPr>
          <w:color w:val="auto"/>
        </w:rPr>
        <w:t xml:space="preserve"> </w:t>
      </w:r>
    </w:p>
    <w:p w14:paraId="0D6984EB" w14:textId="77777777" w:rsidR="0071367B" w:rsidRPr="003C7D40" w:rsidRDefault="002030A4">
      <w:pPr>
        <w:numPr>
          <w:ilvl w:val="0"/>
          <w:numId w:val="2"/>
        </w:numPr>
        <w:spacing w:after="5" w:line="250" w:lineRule="auto"/>
        <w:ind w:hanging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Problematyka wykładu  </w:t>
      </w:r>
    </w:p>
    <w:p w14:paraId="241CE465" w14:textId="77777777" w:rsidR="0071367B" w:rsidRPr="003C7D40" w:rsidRDefault="002030A4">
      <w:pPr>
        <w:spacing w:after="0"/>
        <w:ind w:left="108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3C7D40" w:rsidRPr="003C7D40" w14:paraId="62475629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2F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Treści merytoryczne </w:t>
            </w:r>
          </w:p>
        </w:tc>
      </w:tr>
      <w:tr w:rsidR="003C7D40" w:rsidRPr="003C7D40" w14:paraId="714F6C12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BD8" w14:textId="76668A46" w:rsidR="00D8345E" w:rsidRPr="00D80A1B" w:rsidRDefault="00FE2E4C">
            <w:pPr>
              <w:rPr>
                <w:rFonts w:ascii="Corbel" w:eastAsia="Corbel" w:hAnsi="Corbel" w:cs="Corbel"/>
                <w:bCs/>
                <w:color w:val="000000" w:themeColor="text1"/>
                <w:sz w:val="24"/>
              </w:rPr>
            </w:pP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Rodzaje zanieczyszczeń poszczególnych elementów środowiska, ich charakterystyka</w:t>
            </w:r>
            <w:r w:rsidR="00701B85"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 i </w:t>
            </w: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źródła</w:t>
            </w:r>
            <w:r w:rsidR="00701B85"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 występowania</w:t>
            </w: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.  </w:t>
            </w:r>
          </w:p>
        </w:tc>
      </w:tr>
      <w:tr w:rsidR="00EF3ECC" w:rsidRPr="003C7D40" w14:paraId="5AEA9F79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C058" w14:textId="51DDFE9C" w:rsidR="00EF3ECC" w:rsidRPr="00D80A1B" w:rsidRDefault="00EF3ECC">
            <w:pPr>
              <w:rPr>
                <w:rFonts w:ascii="Corbel" w:eastAsia="Corbel" w:hAnsi="Corbel" w:cs="Corbel"/>
                <w:bCs/>
                <w:color w:val="000000" w:themeColor="text1"/>
                <w:sz w:val="24"/>
              </w:rPr>
            </w:pP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Czynniki wpływające na przemieszczanie się i rozkład ksenobiotyków w środowisku.</w:t>
            </w:r>
          </w:p>
        </w:tc>
      </w:tr>
      <w:tr w:rsidR="006F4C6B" w:rsidRPr="003C7D40" w14:paraId="3666E01F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DF7" w14:textId="2DE2C993" w:rsidR="006F4C6B" w:rsidRPr="00D80A1B" w:rsidRDefault="006F4C6B">
            <w:pPr>
              <w:rPr>
                <w:rFonts w:ascii="Corbel" w:eastAsia="Corbel" w:hAnsi="Corbel" w:cs="Corbel"/>
                <w:bCs/>
                <w:color w:val="000000" w:themeColor="text1"/>
                <w:sz w:val="24"/>
              </w:rPr>
            </w:pP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Wpływ ksenobiotyków na organizmy.</w:t>
            </w:r>
          </w:p>
        </w:tc>
      </w:tr>
      <w:tr w:rsidR="00701B85" w:rsidRPr="003C7D40" w14:paraId="221F86D2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45C" w14:textId="72B39375" w:rsidR="00701B85" w:rsidRPr="00D80A1B" w:rsidRDefault="00EF3ECC">
            <w:pPr>
              <w:rPr>
                <w:rFonts w:ascii="Corbel" w:eastAsia="Corbel" w:hAnsi="Corbel" w:cs="Corbel"/>
                <w:bCs/>
                <w:color w:val="000000" w:themeColor="text1"/>
                <w:sz w:val="24"/>
              </w:rPr>
            </w:pP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Metabolizm </w:t>
            </w:r>
            <w:proofErr w:type="spellStart"/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ksenobiotyków</w:t>
            </w:r>
            <w:proofErr w:type="spellEnd"/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, modele </w:t>
            </w:r>
            <w:proofErr w:type="spellStart"/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biokoncentracji</w:t>
            </w:r>
            <w:proofErr w:type="spellEnd"/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 xml:space="preserve"> i bioakumulacji.</w:t>
            </w:r>
          </w:p>
        </w:tc>
      </w:tr>
      <w:tr w:rsidR="00EF3ECC" w:rsidRPr="003C7D40" w14:paraId="279F6954" w14:textId="77777777">
        <w:trPr>
          <w:trHeight w:val="38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DC2" w14:textId="65BDE84B" w:rsidR="00EF3ECC" w:rsidRPr="00D80A1B" w:rsidRDefault="00EF3ECC">
            <w:pPr>
              <w:rPr>
                <w:rFonts w:ascii="Corbel" w:eastAsia="Corbel" w:hAnsi="Corbel" w:cs="Corbel"/>
                <w:bCs/>
                <w:color w:val="000000" w:themeColor="text1"/>
                <w:sz w:val="24"/>
              </w:rPr>
            </w:pPr>
            <w:r w:rsidRPr="00D80A1B">
              <w:rPr>
                <w:rFonts w:ascii="Corbel" w:eastAsia="Corbel" w:hAnsi="Corbel" w:cs="Corbel"/>
                <w:bCs/>
                <w:color w:val="000000" w:themeColor="text1"/>
                <w:sz w:val="24"/>
              </w:rPr>
              <w:t>Interakcje zanieczyszczeń, synergizm, działanie addytywne.</w:t>
            </w:r>
          </w:p>
        </w:tc>
      </w:tr>
      <w:tr w:rsidR="003C7D40" w:rsidRPr="003C7D40" w14:paraId="6E71A6DD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6F9" w14:textId="55E3FA83" w:rsidR="0071367B" w:rsidRPr="00D80A1B" w:rsidRDefault="00EF3ECC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Biomarkery</w:t>
            </w:r>
            <w:proofErr w:type="spellEnd"/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F3ECC" w:rsidRPr="003C7D40" w14:paraId="70C55BE6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0F23" w14:textId="79BB736B" w:rsidR="00EF3ECC" w:rsidRPr="00D80A1B" w:rsidRDefault="00EF3ECC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Metody oznaczania skażeń środowiska.</w:t>
            </w:r>
          </w:p>
        </w:tc>
      </w:tr>
      <w:tr w:rsidR="003E31AA" w:rsidRPr="003C7D40" w14:paraId="6FD45530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EDA" w14:textId="61DC07E6" w:rsidR="003E31AA" w:rsidRPr="00D80A1B" w:rsidRDefault="003E31AA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Metody stosowane do rozkładu/usuwania </w:t>
            </w:r>
            <w:r w:rsidR="002A3016"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zanieczyszczeń</w:t>
            </w: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F3ECC" w:rsidRPr="003C7D40" w14:paraId="4C867555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1A7" w14:textId="0F5ACE42" w:rsidR="00EF3ECC" w:rsidRPr="00D80A1B" w:rsidRDefault="009A7577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Szczegółowe m</w:t>
            </w:r>
            <w:r w:rsidR="00EF3ECC" w:rsidRPr="00D80A1B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echanizmy biotransformacji i detoksykacji wybranych ksenobiotyków.</w:t>
            </w:r>
          </w:p>
        </w:tc>
      </w:tr>
    </w:tbl>
    <w:p w14:paraId="0E79767A" w14:textId="77777777" w:rsidR="0071367B" w:rsidRPr="003C7D40" w:rsidRDefault="002030A4">
      <w:pPr>
        <w:spacing w:after="15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64C2E2C9" w14:textId="77777777" w:rsidR="0071367B" w:rsidRPr="003C7D40" w:rsidRDefault="002030A4">
      <w:pPr>
        <w:numPr>
          <w:ilvl w:val="0"/>
          <w:numId w:val="2"/>
        </w:numPr>
        <w:spacing w:after="5" w:line="250" w:lineRule="auto"/>
        <w:ind w:hanging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Problematyka ćwiczeń audytoryjnych, konwersatoryjnych, laboratoryjnych, zajęć praktycznych  </w:t>
      </w:r>
    </w:p>
    <w:p w14:paraId="23832944" w14:textId="77777777" w:rsidR="0071367B" w:rsidRPr="003C7D40" w:rsidRDefault="002030A4">
      <w:pPr>
        <w:spacing w:after="0"/>
        <w:ind w:left="72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D80A1B" w:rsidRPr="00D80A1B" w14:paraId="270C74EB" w14:textId="77777777">
        <w:trPr>
          <w:trHeight w:val="37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CCEC" w14:textId="77777777" w:rsidR="0071367B" w:rsidRPr="00D80A1B" w:rsidRDefault="002030A4">
            <w:pPr>
              <w:rPr>
                <w:color w:val="000000" w:themeColor="text1"/>
              </w:rPr>
            </w:pPr>
            <w:r w:rsidRPr="00D80A1B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Treści merytoryczne </w:t>
            </w:r>
          </w:p>
        </w:tc>
      </w:tr>
      <w:tr w:rsidR="00D80A1B" w:rsidRPr="00D80A1B" w14:paraId="0248C3A4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687" w14:textId="77777777" w:rsidR="0071367B" w:rsidRPr="00D80A1B" w:rsidRDefault="002030A4">
            <w:pPr>
              <w:rPr>
                <w:color w:val="000000" w:themeColor="text1"/>
              </w:rPr>
            </w:pPr>
            <w:r w:rsidRPr="00D80A1B">
              <w:rPr>
                <w:rFonts w:ascii="Corbel" w:eastAsia="Corbel" w:hAnsi="Corbel" w:cs="Corbel"/>
                <w:color w:val="000000" w:themeColor="text1"/>
                <w:sz w:val="24"/>
              </w:rPr>
              <w:t xml:space="preserve">BHP oraz znajomość podstawowych zasad i technik stosowanych w laboratorium. </w:t>
            </w:r>
          </w:p>
        </w:tc>
      </w:tr>
      <w:tr w:rsidR="00D80A1B" w:rsidRPr="00D80A1B" w14:paraId="21B59193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50C5" w14:textId="7E4D091B" w:rsidR="00C424B4" w:rsidRPr="00D80A1B" w:rsidRDefault="000C0ACB" w:rsidP="000C0ACB">
            <w:pPr>
              <w:spacing w:after="160" w:line="259" w:lineRule="auto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Wykorzystanie biomasy alg i drożdży do usuwania metali ciężkich z roztworów wodnych.</w:t>
            </w:r>
          </w:p>
        </w:tc>
      </w:tr>
      <w:tr w:rsidR="00D80A1B" w:rsidRPr="00D80A1B" w14:paraId="1792D8D6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971" w14:textId="6758CE39" w:rsidR="00926EF6" w:rsidRPr="00D80A1B" w:rsidRDefault="000C0ACB" w:rsidP="000C0ACB">
            <w:pPr>
              <w:spacing w:after="160" w:line="259" w:lineRule="auto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Zastosowanie bakterii w usuwaniu pestycydów</w:t>
            </w:r>
            <w:r w:rsidR="00D80A1B"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.</w:t>
            </w: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0A1B" w:rsidRPr="00D80A1B" w14:paraId="61EA664A" w14:textId="77777777">
        <w:trPr>
          <w:trHeight w:val="451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7104" w14:textId="5AC7B3D0" w:rsidR="00D8702A" w:rsidRPr="00D80A1B" w:rsidRDefault="000C0ACB" w:rsidP="000C0ACB">
            <w:pPr>
              <w:spacing w:after="160" w:line="259" w:lineRule="auto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Fitoremediacja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gleb zanieczyszczonych PCB.</w:t>
            </w:r>
          </w:p>
        </w:tc>
      </w:tr>
      <w:tr w:rsidR="00D80A1B" w:rsidRPr="00D80A1B" w14:paraId="007B0DEB" w14:textId="77777777">
        <w:trPr>
          <w:trHeight w:val="449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1FB4" w14:textId="5D204FC3" w:rsidR="0071367B" w:rsidRPr="00D80A1B" w:rsidRDefault="000C0ACB" w:rsidP="000C0ACB">
            <w:pPr>
              <w:spacing w:after="160" w:line="259" w:lineRule="auto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Oznaczanie produktów rozkładu</w:t>
            </w:r>
            <w:r w:rsidR="00D80A1B"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/</w:t>
            </w:r>
            <w:r w:rsidR="00151E40"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metabolitów </w:t>
            </w: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pestycydów w glebie.</w:t>
            </w:r>
          </w:p>
        </w:tc>
      </w:tr>
      <w:tr w:rsidR="00D80A1B" w:rsidRPr="00D80A1B" w14:paraId="05D21EA3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C78" w14:textId="5975B2AB" w:rsidR="0071367B" w:rsidRPr="00D80A1B" w:rsidRDefault="000C0ACB" w:rsidP="000C0ACB">
            <w:pPr>
              <w:spacing w:after="160" w:line="259" w:lineRule="auto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Toksyczność wybranych ksenobiotyków.</w:t>
            </w:r>
          </w:p>
        </w:tc>
      </w:tr>
      <w:tr w:rsidR="00D80A1B" w:rsidRPr="00D80A1B" w14:paraId="4BFE03AE" w14:textId="77777777">
        <w:trPr>
          <w:trHeight w:val="45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DF7" w14:textId="0F37C659" w:rsidR="002030A4" w:rsidRPr="00D80A1B" w:rsidRDefault="00D2511A">
            <w:pPr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lastRenderedPageBreak/>
              <w:t>Kolokwium zaliczeniowe.</w:t>
            </w:r>
          </w:p>
        </w:tc>
      </w:tr>
    </w:tbl>
    <w:p w14:paraId="2CD90FCE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1E40138D" w14:textId="77777777" w:rsidR="0071367B" w:rsidRPr="003C7D40" w:rsidRDefault="002030A4">
      <w:pPr>
        <w:pStyle w:val="Nagwek3"/>
        <w:spacing w:after="96"/>
        <w:ind w:left="438" w:right="0"/>
        <w:rPr>
          <w:color w:val="auto"/>
        </w:rPr>
      </w:pPr>
      <w:r w:rsidRPr="003C7D40">
        <w:rPr>
          <w:color w:val="auto"/>
        </w:rPr>
        <w:t>3.4 Metody dydaktyczne</w:t>
      </w:r>
      <w:r w:rsidRPr="003C7D40">
        <w:rPr>
          <w:b w:val="0"/>
          <w:color w:val="auto"/>
        </w:rPr>
        <w:t xml:space="preserve">  </w:t>
      </w:r>
    </w:p>
    <w:p w14:paraId="1B3AC72A" w14:textId="3E0A8497" w:rsidR="0071367B" w:rsidRPr="003C7D40" w:rsidRDefault="002030A4">
      <w:pPr>
        <w:spacing w:after="5" w:line="250" w:lineRule="auto"/>
        <w:ind w:left="10" w:hanging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Wykład z prezentacją multimedialną, Laboratorium: </w:t>
      </w:r>
      <w:r w:rsidR="00D80A1B" w:rsidRPr="003C7D40">
        <w:rPr>
          <w:rFonts w:ascii="Corbel" w:eastAsia="Corbel" w:hAnsi="Corbel" w:cs="Corbel"/>
          <w:color w:val="auto"/>
          <w:sz w:val="24"/>
        </w:rPr>
        <w:t xml:space="preserve">projektowanie </w:t>
      </w:r>
      <w:r w:rsidR="00D80A1B">
        <w:rPr>
          <w:rFonts w:ascii="Corbel" w:eastAsia="Corbel" w:hAnsi="Corbel" w:cs="Corbel"/>
          <w:color w:val="auto"/>
          <w:sz w:val="24"/>
        </w:rPr>
        <w:t xml:space="preserve">i </w:t>
      </w:r>
      <w:r w:rsidRPr="003C7D40">
        <w:rPr>
          <w:rFonts w:ascii="Corbel" w:eastAsia="Corbel" w:hAnsi="Corbel" w:cs="Corbel"/>
          <w:color w:val="auto"/>
          <w:sz w:val="24"/>
        </w:rPr>
        <w:t xml:space="preserve">wykonywanie doświadczeń, </w:t>
      </w:r>
      <w:r w:rsidR="00D80A1B">
        <w:rPr>
          <w:rFonts w:ascii="Corbel" w:eastAsia="Corbel" w:hAnsi="Corbel" w:cs="Corbel"/>
          <w:color w:val="auto"/>
          <w:sz w:val="24"/>
        </w:rPr>
        <w:t xml:space="preserve"> </w:t>
      </w:r>
      <w:r w:rsidR="00D2511A" w:rsidRPr="003C7D40">
        <w:rPr>
          <w:rFonts w:ascii="Corbel" w:eastAsia="Corbel" w:hAnsi="Corbel" w:cs="Corbel"/>
          <w:color w:val="auto"/>
          <w:sz w:val="24"/>
        </w:rPr>
        <w:t>projekt/referat</w:t>
      </w:r>
      <w:r w:rsidRPr="003C7D40">
        <w:rPr>
          <w:rFonts w:ascii="Corbel" w:eastAsia="Corbel" w:hAnsi="Corbel" w:cs="Corbel"/>
          <w:color w:val="auto"/>
          <w:sz w:val="24"/>
        </w:rPr>
        <w:t xml:space="preserve">. </w:t>
      </w:r>
    </w:p>
    <w:p w14:paraId="38F75FEA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5275CB1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521BAD1E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0ACD484B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t xml:space="preserve">4. METODY I KRYTERIA OCENY  </w:t>
      </w:r>
    </w:p>
    <w:p w14:paraId="005B2A6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4476A45C" w14:textId="77777777" w:rsidR="0071367B" w:rsidRPr="003C7D40" w:rsidRDefault="002030A4">
      <w:pPr>
        <w:pStyle w:val="Nagwek4"/>
        <w:spacing w:after="5" w:line="250" w:lineRule="auto"/>
        <w:ind w:left="438" w:right="0"/>
        <w:rPr>
          <w:color w:val="auto"/>
        </w:rPr>
      </w:pPr>
      <w:r w:rsidRPr="003C7D40">
        <w:rPr>
          <w:color w:val="auto"/>
        </w:rPr>
        <w:t xml:space="preserve">4.1 Sposoby weryfikacji efektów uczenia się </w:t>
      </w:r>
    </w:p>
    <w:p w14:paraId="168C295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5442"/>
        <w:gridCol w:w="2117"/>
      </w:tblGrid>
      <w:tr w:rsidR="003C7D40" w:rsidRPr="003C7D40" w14:paraId="22654308" w14:textId="77777777">
        <w:trPr>
          <w:trHeight w:val="8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3D75" w14:textId="77777777" w:rsidR="0071367B" w:rsidRPr="003C7D40" w:rsidRDefault="002030A4">
            <w:pPr>
              <w:ind w:left="11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Symbol efektu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5EFB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Metody oceny efektów uczenia się </w:t>
            </w:r>
          </w:p>
          <w:p w14:paraId="51ACCD33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(np.: kolokwium, egzamin ustny, egzamin pisemny, projekt, sprawozdanie, obserwacja w trakcie zajęć)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0DD8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Forma zajęć dydaktycznych  </w:t>
            </w:r>
          </w:p>
          <w:p w14:paraId="26A4FC06" w14:textId="77777777" w:rsidR="0071367B" w:rsidRPr="003C7D40" w:rsidRDefault="002030A4">
            <w:pPr>
              <w:ind w:left="6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(w, </w:t>
            </w: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ćw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, …) </w:t>
            </w:r>
          </w:p>
        </w:tc>
      </w:tr>
      <w:tr w:rsidR="003C7D40" w:rsidRPr="003C7D40" w14:paraId="56586D80" w14:textId="77777777">
        <w:trPr>
          <w:trHeight w:val="6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3D02" w14:textId="062D1769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Ek_01, Ek_02, Ek_03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AEC" w14:textId="02559316" w:rsidR="0071367B" w:rsidRPr="003C7D40" w:rsidRDefault="003E00FA">
            <w:pPr>
              <w:rPr>
                <w:color w:val="auto"/>
              </w:rPr>
            </w:pPr>
            <w:r>
              <w:rPr>
                <w:rFonts w:ascii="Corbel" w:eastAsia="Corbel" w:hAnsi="Corbel" w:cs="Corbel"/>
                <w:color w:val="auto"/>
                <w:sz w:val="24"/>
              </w:rPr>
              <w:t>Egzamin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na zakończenie wykładu</w:t>
            </w:r>
            <w:r>
              <w:rPr>
                <w:rFonts w:ascii="Corbel" w:eastAsia="Corbel" w:hAnsi="Corbel" w:cs="Corbel"/>
                <w:color w:val="auto"/>
                <w:sz w:val="24"/>
              </w:rPr>
              <w:t xml:space="preserve">, kolokwium z </w:t>
            </w:r>
            <w:r w:rsidR="00C77CE6" w:rsidRPr="003C7D40">
              <w:rPr>
                <w:rFonts w:ascii="Corbel" w:eastAsia="Corbel" w:hAnsi="Corbel" w:cs="Corbel"/>
                <w:color w:val="auto"/>
                <w:sz w:val="24"/>
              </w:rPr>
              <w:t>ćwiczeń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075D" w14:textId="0422E82C" w:rsidR="0071367B" w:rsidRPr="003C7D40" w:rsidRDefault="00C77CE6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W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>ykład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, ćw. lab.</w:t>
            </w:r>
          </w:p>
        </w:tc>
      </w:tr>
      <w:tr w:rsidR="003C7D40" w:rsidRPr="003C7D40" w14:paraId="7228AED9" w14:textId="77777777">
        <w:trPr>
          <w:trHeight w:val="43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970" w14:textId="63BDDD50" w:rsidR="0071367B" w:rsidRPr="003C7D40" w:rsidRDefault="009B7040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Ek_04, 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>Ek_0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20F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Obserwacja w trakcie zajęć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12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lab. </w:t>
            </w:r>
          </w:p>
        </w:tc>
      </w:tr>
      <w:tr w:rsidR="003C7D40" w:rsidRPr="003C7D40" w14:paraId="2586D30C" w14:textId="77777777">
        <w:trPr>
          <w:trHeight w:val="44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A70" w14:textId="7F81BDE3" w:rsidR="0071367B" w:rsidRPr="003C7D40" w:rsidRDefault="002030A4">
            <w:pPr>
              <w:ind w:left="3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Ek_04</w:t>
            </w:r>
            <w:r w:rsidR="009B7040" w:rsidRPr="003C7D40">
              <w:rPr>
                <w:rFonts w:ascii="Corbel" w:eastAsia="Corbel" w:hAnsi="Corbel" w:cs="Corbel"/>
                <w:color w:val="auto"/>
                <w:sz w:val="24"/>
              </w:rPr>
              <w:t>, Ek_05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1B0D" w14:textId="08ED33FA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Sprawozdania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9CB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Ćw. lab. </w:t>
            </w:r>
          </w:p>
        </w:tc>
      </w:tr>
    </w:tbl>
    <w:p w14:paraId="405B354C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06187875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73D1DDCB" w14:textId="77777777" w:rsidR="0071367B" w:rsidRPr="003C7D40" w:rsidRDefault="002030A4">
      <w:pPr>
        <w:pStyle w:val="Nagwek4"/>
        <w:ind w:left="438" w:right="0"/>
        <w:rPr>
          <w:color w:val="auto"/>
        </w:rPr>
      </w:pPr>
      <w:r w:rsidRPr="003C7D40">
        <w:rPr>
          <w:color w:val="auto"/>
        </w:rPr>
        <w:t xml:space="preserve">4.2 Warunki zaliczenia przedmiotu (kryteria oceniania)  </w:t>
      </w:r>
    </w:p>
    <w:p w14:paraId="5536A4EA" w14:textId="77777777" w:rsidR="0071367B" w:rsidRPr="003C7D40" w:rsidRDefault="002030A4">
      <w:pPr>
        <w:spacing w:after="0"/>
        <w:ind w:left="428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3C7D40" w:rsidRPr="003C7D40" w14:paraId="4120805F" w14:textId="77777777" w:rsidTr="00D80A1B">
        <w:trPr>
          <w:trHeight w:val="230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BB4" w14:textId="79822985" w:rsidR="0071367B" w:rsidRPr="00D80A1B" w:rsidRDefault="002030A4" w:rsidP="00D80A1B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Warunkiem zaliczenia przedmiotu jest uzyskanie pozytywnej oceny z ćwiczeń laboratoryjnych, przynajmniej 80% obecności na wykładach</w:t>
            </w:r>
            <w:r w:rsidR="003E00FA">
              <w:rPr>
                <w:rFonts w:ascii="Corbel" w:eastAsia="Corbel" w:hAnsi="Corbel" w:cs="Corbel"/>
                <w:color w:val="auto"/>
                <w:sz w:val="24"/>
              </w:rPr>
              <w:t>, przedstawienie prezentacji</w:t>
            </w: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oraz </w:t>
            </w:r>
            <w:r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uzyskanie pozytywnej oceny z </w:t>
            </w:r>
            <w:r w:rsidR="003E00FA"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egzaminu</w:t>
            </w:r>
            <w:r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 końcowego. </w:t>
            </w:r>
          </w:p>
          <w:p w14:paraId="32D361F0" w14:textId="77777777" w:rsidR="0071367B" w:rsidRPr="00D80A1B" w:rsidRDefault="002030A4" w:rsidP="00D80A1B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D80A1B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Metody i kryteria oceny: </w:t>
            </w:r>
          </w:p>
          <w:p w14:paraId="08DA7E00" w14:textId="6FA5CEF0" w:rsidR="0071367B" w:rsidRPr="003C7D40" w:rsidRDefault="00D80A1B" w:rsidP="00D80A1B">
            <w:pPr>
              <w:spacing w:after="120"/>
              <w:rPr>
                <w:color w:val="auto"/>
              </w:rPr>
            </w:pPr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Oceniane wg skali: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bdb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91-100%,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plus 81-90%,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71-80%,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dst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plus 61-70%,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dst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51-60%, </w:t>
            </w:r>
            <w:proofErr w:type="spellStart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>ndst</w:t>
            </w:r>
            <w:proofErr w:type="spellEnd"/>
            <w:r w:rsidRPr="00D80A1B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0-50% max liczby punktów.</w:t>
            </w:r>
          </w:p>
        </w:tc>
      </w:tr>
    </w:tbl>
    <w:p w14:paraId="16E9831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14:paraId="17570D9B" w14:textId="77777777" w:rsidR="0071367B" w:rsidRPr="003C7D40" w:rsidRDefault="002030A4">
      <w:pPr>
        <w:pStyle w:val="Nagwek3"/>
        <w:spacing w:after="5" w:line="250" w:lineRule="auto"/>
        <w:ind w:left="284" w:right="0" w:hanging="284"/>
        <w:rPr>
          <w:color w:val="auto"/>
        </w:rPr>
      </w:pPr>
      <w:r w:rsidRPr="003C7D40">
        <w:rPr>
          <w:color w:val="auto"/>
        </w:rPr>
        <w:t xml:space="preserve">5. CAŁKOWITY NAKŁAD PRACY STUDENTA POTRZEBNY DO OSIĄGNIĘCIA ZAŁOŻONYCH EFEKTÓW W GODZINACH ORAZ PUNKTACH ECTS  </w:t>
      </w:r>
    </w:p>
    <w:p w14:paraId="01B1BDA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tbl>
      <w:tblPr>
        <w:tblStyle w:val="TableGrid"/>
        <w:tblW w:w="9523" w:type="dxa"/>
        <w:tblInd w:w="113" w:type="dxa"/>
        <w:tblCellMar>
          <w:top w:w="5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  <w:gridCol w:w="4619"/>
      </w:tblGrid>
      <w:tr w:rsidR="003C7D40" w:rsidRPr="003C7D40" w14:paraId="7A892A5F" w14:textId="77777777">
        <w:trPr>
          <w:trHeight w:val="59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F740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Forma aktywności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0E59" w14:textId="77777777" w:rsidR="0071367B" w:rsidRPr="003C7D40" w:rsidRDefault="002030A4">
            <w:pPr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Średnia liczba godzin na zrealizowanie aktywności </w:t>
            </w:r>
          </w:p>
        </w:tc>
      </w:tr>
      <w:tr w:rsidR="003C7D40" w:rsidRPr="003C7D40" w14:paraId="185C9F2E" w14:textId="77777777">
        <w:trPr>
          <w:trHeight w:val="64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7A2" w14:textId="77777777" w:rsidR="0071367B" w:rsidRPr="003C7D40" w:rsidRDefault="002030A4">
            <w:pPr>
              <w:ind w:right="1312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Godziny kontaktowe wynikające z harmonogramu studiów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AC0F" w14:textId="77777777" w:rsidR="0071367B" w:rsidRPr="003C7D40" w:rsidRDefault="002030A4">
            <w:pPr>
              <w:ind w:left="4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45 </w:t>
            </w:r>
          </w:p>
        </w:tc>
      </w:tr>
      <w:tr w:rsidR="003C7D40" w:rsidRPr="003C7D40" w14:paraId="5BF550CF" w14:textId="77777777">
        <w:trPr>
          <w:trHeight w:val="71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87C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Inne z udziałem nauczyciela akademickiego (udział w konsultacjach, egzaminie)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FF8C" w14:textId="77777777" w:rsidR="0071367B" w:rsidRPr="003C7D40" w:rsidRDefault="002030A4">
            <w:pPr>
              <w:ind w:left="5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10 </w:t>
            </w:r>
          </w:p>
        </w:tc>
      </w:tr>
      <w:tr w:rsidR="003C7D40" w:rsidRPr="003C7D40" w14:paraId="06C7958C" w14:textId="77777777">
        <w:trPr>
          <w:trHeight w:val="127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02D1" w14:textId="77777777" w:rsidR="0071367B" w:rsidRPr="003C7D40" w:rsidRDefault="002030A4">
            <w:pPr>
              <w:spacing w:line="242" w:lineRule="auto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lastRenderedPageBreak/>
              <w:t xml:space="preserve">Godziny </w:t>
            </w:r>
            <w:proofErr w:type="spellStart"/>
            <w:r w:rsidRPr="003C7D40">
              <w:rPr>
                <w:rFonts w:ascii="Corbel" w:eastAsia="Corbel" w:hAnsi="Corbel" w:cs="Corbel"/>
                <w:color w:val="auto"/>
                <w:sz w:val="24"/>
              </w:rPr>
              <w:t>niekontaktowe</w:t>
            </w:r>
            <w:proofErr w:type="spellEnd"/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– praca własna studenta </w:t>
            </w:r>
          </w:p>
          <w:p w14:paraId="7FBB0DA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(przygotowanie do zajęć, egzaminu, napisanie referatu itp.)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D26" w14:textId="413267BA" w:rsidR="0071367B" w:rsidRPr="003C7D40" w:rsidRDefault="00175228">
            <w:pPr>
              <w:ind w:left="2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70</w:t>
            </w:r>
            <w:r w:rsidR="002030A4" w:rsidRPr="003C7D40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3C7D40" w:rsidRPr="003C7D40" w14:paraId="4BC6CD41" w14:textId="77777777">
        <w:trPr>
          <w:trHeight w:val="439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E1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SUMA GODZIN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A1D" w14:textId="30BFA87A" w:rsidR="0071367B" w:rsidRPr="003C7D40" w:rsidRDefault="00175228">
            <w:pPr>
              <w:ind w:left="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125</w:t>
            </w:r>
          </w:p>
        </w:tc>
      </w:tr>
      <w:tr w:rsidR="003C7D40" w:rsidRPr="003C7D40" w14:paraId="78C89E36" w14:textId="77777777">
        <w:trPr>
          <w:trHeight w:val="418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24D6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SUMARYCZNA LICZBA PUNKTÓW ECTS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E0A4" w14:textId="2D8EAE62" w:rsidR="0071367B" w:rsidRPr="003C7D40" w:rsidRDefault="00175228">
            <w:pPr>
              <w:ind w:left="3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>5</w:t>
            </w:r>
          </w:p>
        </w:tc>
      </w:tr>
    </w:tbl>
    <w:p w14:paraId="436A6505" w14:textId="77777777" w:rsidR="0071367B" w:rsidRPr="003C7D40" w:rsidRDefault="002030A4">
      <w:pPr>
        <w:spacing w:after="5" w:line="250" w:lineRule="auto"/>
        <w:ind w:left="438" w:hanging="10"/>
        <w:rPr>
          <w:color w:val="auto"/>
        </w:rPr>
      </w:pPr>
      <w:r w:rsidRPr="003C7D40">
        <w:rPr>
          <w:rFonts w:ascii="Corbel" w:eastAsia="Corbel" w:hAnsi="Corbel" w:cs="Corbel"/>
          <w:i/>
          <w:color w:val="auto"/>
          <w:sz w:val="24"/>
        </w:rPr>
        <w:t xml:space="preserve">* Należy uwzględnić, że 1 pkt ECTS odpowiada 25-30 godzin całkowitego nakładu pracy studenta. </w:t>
      </w:r>
    </w:p>
    <w:p w14:paraId="63B23DC4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47F876F2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t xml:space="preserve">6. PRAKTYKI ZAWODOWE W RAMACH PRZEDMIOTU </w:t>
      </w:r>
    </w:p>
    <w:tbl>
      <w:tblPr>
        <w:tblStyle w:val="TableGrid"/>
        <w:tblW w:w="7516" w:type="dxa"/>
        <w:tblInd w:w="68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971"/>
      </w:tblGrid>
      <w:tr w:rsidR="003C7D40" w:rsidRPr="003C7D40" w14:paraId="35DC2663" w14:textId="77777777">
        <w:trPr>
          <w:trHeight w:val="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D97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wymiar godzinowy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E01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––––––––––––––––– </w:t>
            </w:r>
          </w:p>
        </w:tc>
      </w:tr>
      <w:tr w:rsidR="003C7D40" w:rsidRPr="003C7D40" w14:paraId="5A11F669" w14:textId="77777777">
        <w:trPr>
          <w:trHeight w:val="5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EA0" w14:textId="77777777" w:rsidR="0071367B" w:rsidRPr="003C7D40" w:rsidRDefault="002030A4">
            <w:pPr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zasady i formy odbywania praktyk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B816" w14:textId="77777777" w:rsidR="0071367B" w:rsidRPr="003C7D40" w:rsidRDefault="002030A4">
            <w:pPr>
              <w:ind w:left="7"/>
              <w:jc w:val="center"/>
              <w:rPr>
                <w:color w:val="auto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</w:rPr>
              <w:t xml:space="preserve">––––––––––––––––– </w:t>
            </w:r>
          </w:p>
        </w:tc>
      </w:tr>
    </w:tbl>
    <w:p w14:paraId="7E2712DA" w14:textId="77777777" w:rsidR="0071367B" w:rsidRPr="003C7D40" w:rsidRDefault="002030A4">
      <w:pPr>
        <w:spacing w:after="0"/>
        <w:ind w:left="36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3C0B26F0" w14:textId="77777777" w:rsidR="0071367B" w:rsidRPr="003C7D40" w:rsidRDefault="002030A4">
      <w:pPr>
        <w:pStyle w:val="Nagwek3"/>
        <w:ind w:left="-5" w:right="0"/>
        <w:rPr>
          <w:color w:val="auto"/>
        </w:rPr>
      </w:pPr>
      <w:r w:rsidRPr="003C7D40">
        <w:rPr>
          <w:color w:val="auto"/>
        </w:rPr>
        <w:t xml:space="preserve">7. LITERATURA  </w:t>
      </w:r>
    </w:p>
    <w:tbl>
      <w:tblPr>
        <w:tblStyle w:val="TableGrid"/>
        <w:tblW w:w="7516" w:type="dxa"/>
        <w:tblInd w:w="680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</w:tblGrid>
      <w:tr w:rsidR="003C7D40" w:rsidRPr="003C7D40" w14:paraId="1F0D333D" w14:textId="77777777">
        <w:trPr>
          <w:trHeight w:val="1824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94D7" w14:textId="77777777" w:rsidR="0071367B" w:rsidRPr="003C7D40" w:rsidRDefault="002030A4">
            <w:pPr>
              <w:spacing w:after="135"/>
              <w:rPr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Literatura podstawowa: </w:t>
            </w:r>
          </w:p>
          <w:p w14:paraId="1C2C6827" w14:textId="3CECFFBE" w:rsidR="003E00FA" w:rsidRDefault="003E00FA" w:rsidP="003E00FA">
            <w:pPr>
              <w:rPr>
                <w:rFonts w:ascii="Corbel" w:hAnsi="Corbel"/>
                <w:color w:val="auto"/>
                <w:sz w:val="24"/>
                <w:szCs w:val="24"/>
              </w:rPr>
            </w:pP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>Manahan</w:t>
            </w:r>
            <w:proofErr w:type="spellEnd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 xml:space="preserve"> S.E.: Toksykologia środowiska. Aspekty chemiczne i biochemiczne. Wydawnictwo Naukowe PWN, Warszawa 2012.</w:t>
            </w:r>
          </w:p>
          <w:p w14:paraId="2D234E3E" w14:textId="6E906785" w:rsidR="003E00FA" w:rsidRPr="003E00FA" w:rsidRDefault="003E00FA" w:rsidP="003E00FA">
            <w:pPr>
              <w:rPr>
                <w:rFonts w:ascii="Corbel" w:hAnsi="Corbel"/>
                <w:color w:val="auto"/>
                <w:sz w:val="24"/>
                <w:szCs w:val="24"/>
              </w:rPr>
            </w:pP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2. </w:t>
            </w:r>
            <w:r w:rsidRPr="003E00FA">
              <w:rPr>
                <w:rFonts w:ascii="Corbel" w:hAnsi="Corbel"/>
                <w:color w:val="auto"/>
                <w:sz w:val="24"/>
                <w:szCs w:val="24"/>
              </w:rPr>
              <w:t xml:space="preserve">Walker C.H., </w:t>
            </w:r>
            <w:proofErr w:type="spellStart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>Hopkin</w:t>
            </w:r>
            <w:proofErr w:type="spellEnd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 xml:space="preserve"> S.P., </w:t>
            </w:r>
            <w:proofErr w:type="spellStart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>Sibly</w:t>
            </w:r>
            <w:proofErr w:type="spellEnd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 xml:space="preserve"> R.M., </w:t>
            </w:r>
            <w:proofErr w:type="spellStart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>Peakall</w:t>
            </w:r>
            <w:proofErr w:type="spellEnd"/>
            <w:r w:rsidRPr="003E00FA">
              <w:rPr>
                <w:rFonts w:ascii="Corbel" w:hAnsi="Corbel"/>
                <w:color w:val="auto"/>
                <w:sz w:val="24"/>
                <w:szCs w:val="24"/>
              </w:rPr>
              <w:t xml:space="preserve"> D.B.: Podstawy ekotoksykologii. Wydawnictwo Naukowe PWN, Warszawa 2002.</w:t>
            </w:r>
          </w:p>
          <w:p w14:paraId="6D024B6F" w14:textId="77777777" w:rsidR="003E00FA" w:rsidRDefault="003E00FA" w:rsidP="003E00FA">
            <w:pPr>
              <w:rPr>
                <w:rFonts w:ascii="Corbel" w:hAnsi="Corbel"/>
                <w:color w:val="auto"/>
                <w:sz w:val="24"/>
                <w:szCs w:val="24"/>
              </w:rPr>
            </w:pP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3. </w:t>
            </w:r>
            <w:r w:rsidRPr="003E00FA">
              <w:rPr>
                <w:rFonts w:ascii="Corbel" w:hAnsi="Corbel"/>
                <w:color w:val="auto"/>
                <w:sz w:val="24"/>
                <w:szCs w:val="24"/>
              </w:rPr>
              <w:t>Siemiński Marek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. Ś</w:t>
            </w:r>
            <w:r w:rsidRPr="003E00FA">
              <w:rPr>
                <w:rFonts w:ascii="Corbel" w:hAnsi="Corbel"/>
                <w:sz w:val="24"/>
                <w:szCs w:val="24"/>
              </w:rPr>
              <w:t>rodowiskowe zagrożenia zdrowia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3E00FA">
              <w:rPr>
                <w:rFonts w:ascii="Corbel" w:hAnsi="Corbel"/>
                <w:color w:val="auto"/>
                <w:sz w:val="24"/>
                <w:szCs w:val="24"/>
              </w:rPr>
              <w:t>Wydawnictwo Naukowe PWN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, </w:t>
            </w:r>
            <w:r w:rsidRPr="003E00FA">
              <w:rPr>
                <w:rFonts w:ascii="Corbel" w:hAnsi="Corbel"/>
                <w:color w:val="auto"/>
                <w:sz w:val="24"/>
                <w:szCs w:val="24"/>
              </w:rPr>
              <w:t>2008</w:t>
            </w:r>
            <w:r w:rsidRPr="003C7D40">
              <w:rPr>
                <w:rFonts w:ascii="Corbel" w:hAnsi="Corbel"/>
                <w:color w:val="auto"/>
                <w:sz w:val="24"/>
                <w:szCs w:val="24"/>
              </w:rPr>
              <w:t xml:space="preserve"> </w:t>
            </w:r>
          </w:p>
          <w:p w14:paraId="3491E349" w14:textId="66F13579" w:rsidR="003E00FA" w:rsidRPr="003E00FA" w:rsidRDefault="003E00FA" w:rsidP="003E00F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4. </w:t>
            </w:r>
            <w:r w:rsidRPr="003E00FA">
              <w:rPr>
                <w:rFonts w:ascii="Corbel" w:hAnsi="Corbel"/>
                <w:sz w:val="24"/>
                <w:szCs w:val="24"/>
              </w:rPr>
              <w:t>Stepnowski P. i in. Monitoring i analityka zanieczyszczeń w środowisku. Wydawnictwo Uniwersytetu Gdańskiego 2010.</w:t>
            </w:r>
          </w:p>
          <w:p w14:paraId="6F33533D" w14:textId="5BC9367E" w:rsidR="003E00FA" w:rsidRPr="003C7D40" w:rsidRDefault="003E00FA" w:rsidP="003E00FA">
            <w:pPr>
              <w:rPr>
                <w:rFonts w:ascii="Corbel" w:hAnsi="Corbel"/>
                <w:color w:val="auto"/>
                <w:sz w:val="24"/>
                <w:szCs w:val="24"/>
              </w:rPr>
            </w:pPr>
          </w:p>
        </w:tc>
      </w:tr>
      <w:tr w:rsidR="003C7D40" w:rsidRPr="003C7D40" w14:paraId="529EAC02" w14:textId="77777777">
        <w:trPr>
          <w:trHeight w:val="112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A5F" w14:textId="77777777" w:rsidR="00D8345E" w:rsidRDefault="002030A4">
            <w:pPr>
              <w:spacing w:after="135"/>
              <w:rPr>
                <w:rFonts w:ascii="Corbel" w:eastAsia="Corbel" w:hAnsi="Corbel" w:cs="Corbel"/>
                <w:color w:val="auto"/>
                <w:sz w:val="24"/>
                <w:szCs w:val="24"/>
              </w:rPr>
            </w:pPr>
            <w:r w:rsidRPr="003C7D40">
              <w:rPr>
                <w:rFonts w:ascii="Corbel" w:eastAsia="Corbel" w:hAnsi="Corbel" w:cs="Corbel"/>
                <w:color w:val="auto"/>
                <w:sz w:val="24"/>
                <w:szCs w:val="24"/>
              </w:rPr>
              <w:t xml:space="preserve">Literatura uzupełniająca: </w:t>
            </w:r>
          </w:p>
          <w:p w14:paraId="02FC6C52" w14:textId="7A11CEA6" w:rsidR="002A3016" w:rsidRPr="00D80A1B" w:rsidRDefault="002A3016" w:rsidP="002A3016">
            <w:pPr>
              <w:pStyle w:val="Akapitzlist"/>
              <w:numPr>
                <w:ilvl w:val="0"/>
                <w:numId w:val="10"/>
              </w:numPr>
              <w:spacing w:after="135" w:line="240" w:lineRule="auto"/>
              <w:rPr>
                <w:rFonts w:ascii="Corbel" w:eastAsia="Corbel" w:hAnsi="Corbel" w:cs="Corbel"/>
                <w:sz w:val="24"/>
                <w:szCs w:val="24"/>
              </w:rPr>
            </w:pPr>
            <w:r w:rsidRPr="00D80A1B">
              <w:rPr>
                <w:rFonts w:ascii="Corbel" w:eastAsia="Corbel" w:hAnsi="Corbel" w:cs="Corbel"/>
                <w:sz w:val="24"/>
                <w:szCs w:val="24"/>
              </w:rPr>
              <w:t xml:space="preserve">Szumska M., </w:t>
            </w:r>
            <w:proofErr w:type="spellStart"/>
            <w:r w:rsidRPr="00D80A1B">
              <w:rPr>
                <w:rFonts w:ascii="Corbel" w:eastAsia="Corbel" w:hAnsi="Corbel" w:cs="Corbel"/>
                <w:sz w:val="24"/>
                <w:szCs w:val="24"/>
              </w:rPr>
              <w:t>Trypień</w:t>
            </w:r>
            <w:proofErr w:type="spellEnd"/>
            <w:r w:rsidRPr="00D80A1B">
              <w:rPr>
                <w:rFonts w:ascii="Corbel" w:eastAsia="Corbel" w:hAnsi="Corbel" w:cs="Corbel"/>
                <w:sz w:val="24"/>
                <w:szCs w:val="24"/>
              </w:rPr>
              <w:t xml:space="preserve"> K. </w:t>
            </w:r>
            <w:proofErr w:type="spellStart"/>
            <w:r w:rsidRPr="00D80A1B">
              <w:rPr>
                <w:rFonts w:ascii="Corbel" w:eastAsia="Corbel" w:hAnsi="Corbel" w:cs="Corbel"/>
                <w:sz w:val="24"/>
                <w:szCs w:val="24"/>
              </w:rPr>
              <w:t>Biomonitoring</w:t>
            </w:r>
            <w:proofErr w:type="spellEnd"/>
            <w:r w:rsidRPr="00D80A1B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D80A1B">
              <w:rPr>
                <w:rFonts w:ascii="Corbel" w:eastAsia="Corbel" w:hAnsi="Corbel" w:cs="Corbel"/>
                <w:sz w:val="24"/>
                <w:szCs w:val="24"/>
              </w:rPr>
              <w:t>ksenobiotyków</w:t>
            </w:r>
            <w:proofErr w:type="spellEnd"/>
            <w:r w:rsidRPr="00D80A1B">
              <w:rPr>
                <w:rFonts w:ascii="Corbel" w:eastAsia="Corbel" w:hAnsi="Corbel" w:cs="Corbel"/>
                <w:sz w:val="24"/>
                <w:szCs w:val="24"/>
              </w:rPr>
              <w:t xml:space="preserve"> – wybrane zagadnienia. </w:t>
            </w:r>
            <w:proofErr w:type="spellStart"/>
            <w:r w:rsidRPr="00D80A1B">
              <w:rPr>
                <w:rFonts w:ascii="Corbel" w:eastAsia="Corbel" w:hAnsi="Corbel" w:cs="Corbel"/>
                <w:sz w:val="24"/>
                <w:szCs w:val="24"/>
              </w:rPr>
              <w:t>MedPharm</w:t>
            </w:r>
            <w:proofErr w:type="spellEnd"/>
            <w:r w:rsidRPr="00D80A1B">
              <w:rPr>
                <w:rFonts w:ascii="Corbel" w:eastAsia="Corbel" w:hAnsi="Corbel" w:cs="Corbel"/>
                <w:sz w:val="24"/>
                <w:szCs w:val="24"/>
              </w:rPr>
              <w:t xml:space="preserve"> Polska 2011.</w:t>
            </w:r>
          </w:p>
          <w:p w14:paraId="1640E505" w14:textId="5BBC8286" w:rsidR="0071367B" w:rsidRPr="002A3016" w:rsidRDefault="00DB1306" w:rsidP="002A3016">
            <w:pPr>
              <w:pStyle w:val="Akapitzlist"/>
              <w:numPr>
                <w:ilvl w:val="0"/>
                <w:numId w:val="10"/>
              </w:numPr>
              <w:spacing w:after="135" w:line="240" w:lineRule="auto"/>
              <w:rPr>
                <w:sz w:val="24"/>
                <w:szCs w:val="24"/>
              </w:rPr>
            </w:pPr>
            <w:r w:rsidRPr="002A3016">
              <w:rPr>
                <w:rFonts w:ascii="Corbel" w:eastAsia="Corbel" w:hAnsi="Corbel" w:cs="Corbel"/>
                <w:sz w:val="24"/>
                <w:szCs w:val="24"/>
              </w:rPr>
              <w:t>Literatura w j. ang. związana z treściami przedmiotu.</w:t>
            </w:r>
            <w:r w:rsidR="002030A4" w:rsidRPr="002A3016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</w:p>
        </w:tc>
      </w:tr>
    </w:tbl>
    <w:p w14:paraId="2C39B599" w14:textId="77777777" w:rsidR="0071367B" w:rsidRPr="003C7D40" w:rsidRDefault="002030A4">
      <w:pPr>
        <w:spacing w:after="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392513B2" w14:textId="4C41D10B" w:rsidR="005B763B" w:rsidRPr="003C7D40" w:rsidRDefault="002030A4" w:rsidP="00F64220">
      <w:pPr>
        <w:spacing w:after="0"/>
        <w:rPr>
          <w:rFonts w:ascii="Corbel" w:eastAsia="Corbel" w:hAnsi="Corbel" w:cs="Corbel"/>
          <w:color w:val="auto"/>
          <w:sz w:val="24"/>
        </w:rPr>
      </w:pPr>
      <w:r w:rsidRPr="003C7D40">
        <w:rPr>
          <w:rFonts w:ascii="Corbel" w:eastAsia="Corbel" w:hAnsi="Corbel" w:cs="Corbel"/>
          <w:color w:val="auto"/>
          <w:sz w:val="24"/>
        </w:rPr>
        <w:t xml:space="preserve"> </w:t>
      </w:r>
    </w:p>
    <w:p w14:paraId="40CA9C4D" w14:textId="77777777" w:rsidR="005B763B" w:rsidRPr="003C7D40" w:rsidRDefault="005B763B">
      <w:pPr>
        <w:spacing w:after="5" w:line="250" w:lineRule="auto"/>
        <w:ind w:left="370" w:hanging="10"/>
        <w:rPr>
          <w:rFonts w:ascii="Corbel" w:eastAsia="Corbel" w:hAnsi="Corbel" w:cs="Corbel"/>
          <w:color w:val="auto"/>
          <w:sz w:val="24"/>
        </w:rPr>
      </w:pPr>
    </w:p>
    <w:p w14:paraId="25264DF4" w14:textId="5E716F60" w:rsidR="0071367B" w:rsidRPr="003C7D40" w:rsidRDefault="002030A4">
      <w:pPr>
        <w:spacing w:after="5" w:line="250" w:lineRule="auto"/>
        <w:ind w:left="370" w:hanging="10"/>
        <w:rPr>
          <w:color w:val="auto"/>
        </w:rPr>
      </w:pPr>
      <w:r w:rsidRPr="003C7D40">
        <w:rPr>
          <w:rFonts w:ascii="Corbel" w:eastAsia="Corbel" w:hAnsi="Corbel" w:cs="Corbel"/>
          <w:color w:val="auto"/>
          <w:sz w:val="24"/>
        </w:rPr>
        <w:t>Akceptacja Kierownika Jednostki lub osoby upoważnionej</w:t>
      </w:r>
      <w:r w:rsidRPr="003C7D40">
        <w:rPr>
          <w:rFonts w:ascii="Corbel" w:eastAsia="Corbel" w:hAnsi="Corbel" w:cs="Corbel"/>
          <w:b/>
          <w:color w:val="auto"/>
          <w:sz w:val="24"/>
        </w:rPr>
        <w:t xml:space="preserve"> </w:t>
      </w:r>
    </w:p>
    <w:sectPr w:rsidR="0071367B" w:rsidRPr="003C7D40">
      <w:footnotePr>
        <w:numRestart w:val="eachPage"/>
      </w:footnotePr>
      <w:pgSz w:w="11906" w:h="16838"/>
      <w:pgMar w:top="1138" w:right="1132" w:bottom="113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596B" w14:textId="77777777" w:rsidR="00026F55" w:rsidRDefault="00026F55">
      <w:pPr>
        <w:spacing w:after="0" w:line="240" w:lineRule="auto"/>
      </w:pPr>
      <w:r>
        <w:separator/>
      </w:r>
    </w:p>
  </w:endnote>
  <w:endnote w:type="continuationSeparator" w:id="0">
    <w:p w14:paraId="1078914C" w14:textId="77777777" w:rsidR="00026F55" w:rsidRDefault="0002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34B1" w14:textId="77777777" w:rsidR="00026F55" w:rsidRDefault="00026F55">
      <w:pPr>
        <w:spacing w:after="0" w:line="263" w:lineRule="auto"/>
      </w:pPr>
      <w:r>
        <w:separator/>
      </w:r>
    </w:p>
  </w:footnote>
  <w:footnote w:type="continuationSeparator" w:id="0">
    <w:p w14:paraId="3F5396E9" w14:textId="77777777" w:rsidR="00026F55" w:rsidRDefault="00026F55">
      <w:pPr>
        <w:spacing w:after="0" w:line="263" w:lineRule="auto"/>
      </w:pPr>
      <w:r>
        <w:continuationSeparator/>
      </w:r>
    </w:p>
  </w:footnote>
  <w:footnote w:id="1">
    <w:p w14:paraId="03985A54" w14:textId="77777777" w:rsidR="0071367B" w:rsidRDefault="002030A4">
      <w:pPr>
        <w:pStyle w:val="footnotedescription"/>
      </w:pPr>
      <w:r>
        <w:rPr>
          <w:rStyle w:val="footnotemark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149"/>
    <w:multiLevelType w:val="hybridMultilevel"/>
    <w:tmpl w:val="96086050"/>
    <w:lvl w:ilvl="0" w:tplc="3060500C">
      <w:start w:val="1"/>
      <w:numFmt w:val="bullet"/>
      <w:lvlText w:val="-"/>
      <w:lvlJc w:val="left"/>
      <w:pPr>
        <w:ind w:left="1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2BC4E">
      <w:start w:val="1"/>
      <w:numFmt w:val="bullet"/>
      <w:lvlText w:val="o"/>
      <w:lvlJc w:val="left"/>
      <w:pPr>
        <w:ind w:left="119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A97B8">
      <w:start w:val="1"/>
      <w:numFmt w:val="bullet"/>
      <w:lvlText w:val="▪"/>
      <w:lvlJc w:val="left"/>
      <w:pPr>
        <w:ind w:left="191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8139C">
      <w:start w:val="1"/>
      <w:numFmt w:val="bullet"/>
      <w:lvlText w:val="•"/>
      <w:lvlJc w:val="left"/>
      <w:pPr>
        <w:ind w:left="263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798C">
      <w:start w:val="1"/>
      <w:numFmt w:val="bullet"/>
      <w:lvlText w:val="o"/>
      <w:lvlJc w:val="left"/>
      <w:pPr>
        <w:ind w:left="335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F86A">
      <w:start w:val="1"/>
      <w:numFmt w:val="bullet"/>
      <w:lvlText w:val="▪"/>
      <w:lvlJc w:val="left"/>
      <w:pPr>
        <w:ind w:left="407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853E8">
      <w:start w:val="1"/>
      <w:numFmt w:val="bullet"/>
      <w:lvlText w:val="•"/>
      <w:lvlJc w:val="left"/>
      <w:pPr>
        <w:ind w:left="479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1C04">
      <w:start w:val="1"/>
      <w:numFmt w:val="bullet"/>
      <w:lvlText w:val="o"/>
      <w:lvlJc w:val="left"/>
      <w:pPr>
        <w:ind w:left="551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60084">
      <w:start w:val="1"/>
      <w:numFmt w:val="bullet"/>
      <w:lvlText w:val="▪"/>
      <w:lvlJc w:val="left"/>
      <w:pPr>
        <w:ind w:left="623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07C21"/>
    <w:multiLevelType w:val="hybridMultilevel"/>
    <w:tmpl w:val="8C1EE368"/>
    <w:lvl w:ilvl="0" w:tplc="FFFFFFFF">
      <w:start w:val="1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25FE5"/>
    <w:multiLevelType w:val="hybridMultilevel"/>
    <w:tmpl w:val="2EFCFA74"/>
    <w:lvl w:ilvl="0" w:tplc="FBF0DD2E">
      <w:start w:val="1"/>
      <w:numFmt w:val="upperLetter"/>
      <w:lvlText w:val="%1."/>
      <w:lvlJc w:val="left"/>
      <w:pPr>
        <w:ind w:left="10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993A">
      <w:start w:val="1"/>
      <w:numFmt w:val="lowerLetter"/>
      <w:lvlText w:val="%2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DFB2">
      <w:start w:val="1"/>
      <w:numFmt w:val="lowerRoman"/>
      <w:lvlText w:val="%3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AEA38">
      <w:start w:val="1"/>
      <w:numFmt w:val="decimal"/>
      <w:lvlText w:val="%4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AD9A2">
      <w:start w:val="1"/>
      <w:numFmt w:val="lowerLetter"/>
      <w:lvlText w:val="%5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ED3A8">
      <w:start w:val="1"/>
      <w:numFmt w:val="lowerRoman"/>
      <w:lvlText w:val="%6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49A16">
      <w:start w:val="1"/>
      <w:numFmt w:val="decimal"/>
      <w:lvlText w:val="%7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230CA">
      <w:start w:val="1"/>
      <w:numFmt w:val="lowerLetter"/>
      <w:lvlText w:val="%8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0FA">
      <w:start w:val="1"/>
      <w:numFmt w:val="lowerRoman"/>
      <w:lvlText w:val="%9"/>
      <w:lvlJc w:val="left"/>
      <w:pPr>
        <w:ind w:left="68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12D24"/>
    <w:multiLevelType w:val="hybridMultilevel"/>
    <w:tmpl w:val="E8F49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1423"/>
    <w:multiLevelType w:val="hybridMultilevel"/>
    <w:tmpl w:val="E8F49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4D3A"/>
    <w:multiLevelType w:val="hybridMultilevel"/>
    <w:tmpl w:val="E8F4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6C28"/>
    <w:multiLevelType w:val="hybridMultilevel"/>
    <w:tmpl w:val="8C1EE368"/>
    <w:lvl w:ilvl="0" w:tplc="FFFFFFFF">
      <w:start w:val="1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BC6BEA"/>
    <w:multiLevelType w:val="hybridMultilevel"/>
    <w:tmpl w:val="1682EF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787E"/>
    <w:multiLevelType w:val="hybridMultilevel"/>
    <w:tmpl w:val="433CD46C"/>
    <w:lvl w:ilvl="0" w:tplc="12349106">
      <w:numFmt w:val="bullet"/>
      <w:lvlText w:val="•"/>
      <w:lvlJc w:val="left"/>
      <w:pPr>
        <w:ind w:left="1428" w:hanging="708"/>
      </w:pPr>
      <w:rPr>
        <w:rFonts w:ascii="Corbel" w:eastAsia="Calibri" w:hAnsi="Corbe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04A3C"/>
    <w:multiLevelType w:val="hybridMultilevel"/>
    <w:tmpl w:val="635C3C7C"/>
    <w:lvl w:ilvl="0" w:tplc="1948260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4124F1F"/>
    <w:multiLevelType w:val="hybridMultilevel"/>
    <w:tmpl w:val="264E0920"/>
    <w:lvl w:ilvl="0" w:tplc="631A63E2">
      <w:start w:val="1"/>
      <w:numFmt w:val="bullet"/>
      <w:lvlText w:val=""/>
      <w:lvlJc w:val="left"/>
      <w:pPr>
        <w:ind w:left="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8710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8305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A2A3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4CEB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004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E5B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3FF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1F6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D05DE8"/>
    <w:multiLevelType w:val="hybridMultilevel"/>
    <w:tmpl w:val="8C1EE368"/>
    <w:lvl w:ilvl="0" w:tplc="B0F08D8E">
      <w:start w:val="1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0017E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D49E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472D8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C0CDC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1B84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262F0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44A8E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63780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B814AE"/>
    <w:multiLevelType w:val="hybridMultilevel"/>
    <w:tmpl w:val="354E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11006">
    <w:abstractNumId w:val="10"/>
  </w:num>
  <w:num w:numId="2" w16cid:durableId="539512749">
    <w:abstractNumId w:val="2"/>
  </w:num>
  <w:num w:numId="3" w16cid:durableId="996112096">
    <w:abstractNumId w:val="0"/>
  </w:num>
  <w:num w:numId="4" w16cid:durableId="1758212001">
    <w:abstractNumId w:val="11"/>
  </w:num>
  <w:num w:numId="5" w16cid:durableId="1737783044">
    <w:abstractNumId w:val="8"/>
  </w:num>
  <w:num w:numId="6" w16cid:durableId="53050334">
    <w:abstractNumId w:val="6"/>
  </w:num>
  <w:num w:numId="7" w16cid:durableId="725761361">
    <w:abstractNumId w:val="9"/>
  </w:num>
  <w:num w:numId="8" w16cid:durableId="35280397">
    <w:abstractNumId w:val="7"/>
  </w:num>
  <w:num w:numId="9" w16cid:durableId="1078598152">
    <w:abstractNumId w:val="1"/>
  </w:num>
  <w:num w:numId="10" w16cid:durableId="126969378">
    <w:abstractNumId w:val="12"/>
  </w:num>
  <w:num w:numId="11" w16cid:durableId="1987970484">
    <w:abstractNumId w:val="5"/>
  </w:num>
  <w:num w:numId="12" w16cid:durableId="1754476055">
    <w:abstractNumId w:val="3"/>
  </w:num>
  <w:num w:numId="13" w16cid:durableId="858542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26F55"/>
    <w:rsid w:val="000372EA"/>
    <w:rsid w:val="00052222"/>
    <w:rsid w:val="000666D5"/>
    <w:rsid w:val="000B14D3"/>
    <w:rsid w:val="000C0ACB"/>
    <w:rsid w:val="000F2871"/>
    <w:rsid w:val="00102A72"/>
    <w:rsid w:val="001418F5"/>
    <w:rsid w:val="00151E40"/>
    <w:rsid w:val="00175228"/>
    <w:rsid w:val="001C1F81"/>
    <w:rsid w:val="001E7021"/>
    <w:rsid w:val="002030A4"/>
    <w:rsid w:val="00211407"/>
    <w:rsid w:val="0022478C"/>
    <w:rsid w:val="002A3016"/>
    <w:rsid w:val="002B5AC7"/>
    <w:rsid w:val="00320C06"/>
    <w:rsid w:val="0035331C"/>
    <w:rsid w:val="00356AF7"/>
    <w:rsid w:val="00384637"/>
    <w:rsid w:val="003C7D40"/>
    <w:rsid w:val="003E00FA"/>
    <w:rsid w:val="003E31AA"/>
    <w:rsid w:val="00404D09"/>
    <w:rsid w:val="004A7DA6"/>
    <w:rsid w:val="004B6533"/>
    <w:rsid w:val="004D3986"/>
    <w:rsid w:val="005061C3"/>
    <w:rsid w:val="00527E85"/>
    <w:rsid w:val="0053050B"/>
    <w:rsid w:val="00542710"/>
    <w:rsid w:val="0055528B"/>
    <w:rsid w:val="00581F9E"/>
    <w:rsid w:val="005B763B"/>
    <w:rsid w:val="005C7063"/>
    <w:rsid w:val="005F68E8"/>
    <w:rsid w:val="0063170F"/>
    <w:rsid w:val="0064788D"/>
    <w:rsid w:val="006810F1"/>
    <w:rsid w:val="006F4C6B"/>
    <w:rsid w:val="00701B85"/>
    <w:rsid w:val="00712A92"/>
    <w:rsid w:val="0071367B"/>
    <w:rsid w:val="00751DBD"/>
    <w:rsid w:val="0079054E"/>
    <w:rsid w:val="007C4420"/>
    <w:rsid w:val="007E2219"/>
    <w:rsid w:val="008000AB"/>
    <w:rsid w:val="00845A9B"/>
    <w:rsid w:val="00850A6B"/>
    <w:rsid w:val="00880E18"/>
    <w:rsid w:val="008A354C"/>
    <w:rsid w:val="00926EF6"/>
    <w:rsid w:val="00940EA7"/>
    <w:rsid w:val="009461BF"/>
    <w:rsid w:val="00975249"/>
    <w:rsid w:val="009817BC"/>
    <w:rsid w:val="009A7577"/>
    <w:rsid w:val="009B7040"/>
    <w:rsid w:val="009E64FC"/>
    <w:rsid w:val="00A227A3"/>
    <w:rsid w:val="00A67C47"/>
    <w:rsid w:val="00A764F8"/>
    <w:rsid w:val="00A77BCA"/>
    <w:rsid w:val="00A84E6C"/>
    <w:rsid w:val="00AF5B6B"/>
    <w:rsid w:val="00B06F80"/>
    <w:rsid w:val="00B2013E"/>
    <w:rsid w:val="00B7109A"/>
    <w:rsid w:val="00BF5C45"/>
    <w:rsid w:val="00C424B4"/>
    <w:rsid w:val="00C71A5B"/>
    <w:rsid w:val="00C77CE6"/>
    <w:rsid w:val="00C80FF9"/>
    <w:rsid w:val="00C966F4"/>
    <w:rsid w:val="00CB4ECD"/>
    <w:rsid w:val="00CE38C6"/>
    <w:rsid w:val="00CF06C2"/>
    <w:rsid w:val="00D147F2"/>
    <w:rsid w:val="00D2511A"/>
    <w:rsid w:val="00D80A1B"/>
    <w:rsid w:val="00D8345E"/>
    <w:rsid w:val="00D8702A"/>
    <w:rsid w:val="00DB1306"/>
    <w:rsid w:val="00E41788"/>
    <w:rsid w:val="00E47D9E"/>
    <w:rsid w:val="00EB4897"/>
    <w:rsid w:val="00EC0713"/>
    <w:rsid w:val="00EF3ECC"/>
    <w:rsid w:val="00F64220"/>
    <w:rsid w:val="00FD12F4"/>
    <w:rsid w:val="00FE2E4C"/>
    <w:rsid w:val="00FF5A86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5E29"/>
  <w15:docId w15:val="{AF8F82DC-7758-482F-912A-9E5520B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"/>
      <w:jc w:val="center"/>
      <w:outlineLvl w:val="0"/>
    </w:pPr>
    <w:rPr>
      <w:rFonts w:ascii="Corbel" w:eastAsia="Corbel" w:hAnsi="Corbel" w:cs="Corbel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08"/>
      <w:outlineLvl w:val="1"/>
    </w:pPr>
    <w:rPr>
      <w:rFonts w:ascii="Corbel" w:eastAsia="Corbel" w:hAnsi="Corbel" w:cs="Corbel"/>
      <w:color w:val="000000"/>
      <w:sz w:val="19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5" w:hanging="10"/>
      <w:outlineLvl w:val="2"/>
    </w:pPr>
    <w:rPr>
      <w:rFonts w:ascii="Corbel" w:eastAsia="Corbel" w:hAnsi="Corbel" w:cs="Corbel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10" w:right="5" w:hanging="10"/>
      <w:outlineLvl w:val="3"/>
    </w:pPr>
    <w:rPr>
      <w:rFonts w:ascii="Corbel" w:eastAsia="Corbel" w:hAnsi="Corbel" w:cs="Corbe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rbel" w:eastAsia="Corbel" w:hAnsi="Corbel" w:cs="Corbel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Corbel" w:eastAsia="Corbel" w:hAnsi="Corbel" w:cs="Corbel"/>
      <w:color w:val="000000"/>
      <w:sz w:val="19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3Znak">
    <w:name w:val="Nagłówek 3 Znak"/>
    <w:link w:val="Nagwek3"/>
    <w:rPr>
      <w:rFonts w:ascii="Corbel" w:eastAsia="Corbel" w:hAnsi="Corbel" w:cs="Corbel"/>
      <w:b/>
      <w:color w:val="000000"/>
      <w:sz w:val="24"/>
    </w:rPr>
  </w:style>
  <w:style w:type="character" w:customStyle="1" w:styleId="Nagwek4Znak">
    <w:name w:val="Nagłówek 4 Znak"/>
    <w:link w:val="Nagwek4"/>
    <w:rPr>
      <w:rFonts w:ascii="Corbel" w:eastAsia="Corbel" w:hAnsi="Corbel" w:cs="Corbel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B763B"/>
    <w:pPr>
      <w:spacing w:after="200" w:line="276" w:lineRule="auto"/>
      <w:ind w:left="720"/>
      <w:contextualSpacing/>
    </w:pPr>
    <w:rPr>
      <w:rFonts w:cs="Times New Roman"/>
      <w:color w:val="auto"/>
      <w:kern w:val="0"/>
      <w:lang w:eastAsia="en-US"/>
      <w14:ligatures w14:val="none"/>
    </w:rPr>
  </w:style>
  <w:style w:type="paragraph" w:customStyle="1" w:styleId="Punktygwne">
    <w:name w:val="Punkty główne"/>
    <w:basedOn w:val="Normalny"/>
    <w:rsid w:val="005B763B"/>
    <w:pPr>
      <w:spacing w:before="240" w:after="60" w:line="240" w:lineRule="auto"/>
    </w:pPr>
    <w:rPr>
      <w:rFonts w:ascii="Times New Roman" w:hAnsi="Times New Roman" w:cs="Times New Roman"/>
      <w:b/>
      <w:smallCaps/>
      <w:color w:val="auto"/>
      <w:kern w:val="0"/>
      <w:sz w:val="24"/>
      <w:lang w:eastAsia="en-US"/>
      <w14:ligatures w14:val="none"/>
    </w:rPr>
  </w:style>
  <w:style w:type="character" w:styleId="Hipercze">
    <w:name w:val="Hyperlink"/>
    <w:rsid w:val="005B763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6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A7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A7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5331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Broda</cp:lastModifiedBy>
  <cp:revision>2</cp:revision>
  <dcterms:created xsi:type="dcterms:W3CDTF">2025-02-04T09:52:00Z</dcterms:created>
  <dcterms:modified xsi:type="dcterms:W3CDTF">2025-02-04T09:52:00Z</dcterms:modified>
</cp:coreProperties>
</file>