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0727D" w14:textId="77777777" w:rsidR="00753ED1" w:rsidRDefault="00753ED1" w:rsidP="00753ED1">
      <w:pPr>
        <w:jc w:val="center"/>
        <w:rPr>
          <w:b/>
          <w:bCs/>
        </w:rPr>
      </w:pPr>
    </w:p>
    <w:p w14:paraId="34AB4E2B" w14:textId="61DDB45E" w:rsidR="00753ED1" w:rsidRPr="008536BC" w:rsidRDefault="00753ED1" w:rsidP="00753ED1">
      <w:pPr>
        <w:spacing w:line="360" w:lineRule="auto"/>
        <w:ind w:left="284" w:hanging="284"/>
        <w:jc w:val="center"/>
        <w:rPr>
          <w:rFonts w:ascii="Corbel" w:hAnsi="Corbel"/>
          <w:b/>
          <w:bCs/>
          <w:sz w:val="24"/>
          <w:szCs w:val="24"/>
          <w:lang w:val="en-US"/>
        </w:rPr>
      </w:pPr>
      <w:bookmarkStart w:id="0" w:name="_GoBack"/>
      <w:r w:rsidRPr="008536BC">
        <w:rPr>
          <w:rFonts w:ascii="Corbel" w:hAnsi="Corbel"/>
          <w:b/>
          <w:bCs/>
          <w:sz w:val="24"/>
          <w:szCs w:val="24"/>
          <w:lang w:val="en-US"/>
        </w:rPr>
        <w:t xml:space="preserve">DETAILED GUIDELINES FOR THE ORGANISATION AND IMPLEMENTATION </w:t>
      </w:r>
      <w:bookmarkEnd w:id="0"/>
      <w:r w:rsidRPr="008536BC">
        <w:rPr>
          <w:rFonts w:ascii="Corbel" w:hAnsi="Corbel"/>
          <w:b/>
          <w:bCs/>
          <w:sz w:val="24"/>
          <w:szCs w:val="24"/>
          <w:lang w:val="en-US"/>
        </w:rPr>
        <w:t>OF PROGRAMMATIC PROFESSIONAL INTERNSHIPS</w:t>
      </w:r>
    </w:p>
    <w:p w14:paraId="405821EF" w14:textId="77777777" w:rsidR="00753ED1" w:rsidRPr="008536BC" w:rsidRDefault="00753ED1" w:rsidP="00753ED1">
      <w:pPr>
        <w:spacing w:line="360" w:lineRule="auto"/>
        <w:ind w:left="284" w:hanging="284"/>
        <w:jc w:val="center"/>
        <w:rPr>
          <w:rFonts w:ascii="Corbel" w:hAnsi="Corbel"/>
          <w:b/>
          <w:bCs/>
          <w:sz w:val="24"/>
          <w:szCs w:val="24"/>
          <w:lang w:val="en-US"/>
        </w:rPr>
      </w:pPr>
    </w:p>
    <w:p w14:paraId="2AE29F97" w14:textId="77777777" w:rsidR="00753ED1" w:rsidRPr="008536BC" w:rsidRDefault="00753ED1" w:rsidP="00753ED1">
      <w:pPr>
        <w:spacing w:line="360" w:lineRule="auto"/>
        <w:ind w:left="284" w:hanging="284"/>
        <w:rPr>
          <w:rFonts w:ascii="Corbel" w:hAnsi="Corbel"/>
          <w:sz w:val="24"/>
          <w:szCs w:val="24"/>
          <w:lang w:val="en-US"/>
        </w:rPr>
      </w:pPr>
      <w:r w:rsidRPr="008536BC">
        <w:rPr>
          <w:rFonts w:ascii="Corbel" w:hAnsi="Corbel"/>
          <w:sz w:val="24"/>
          <w:szCs w:val="24"/>
          <w:lang w:val="en-US"/>
        </w:rPr>
        <w:t xml:space="preserve">Field of study: </w:t>
      </w:r>
      <w:r w:rsidRPr="008536BC">
        <w:rPr>
          <w:rFonts w:ascii="Corbel" w:hAnsi="Corbel"/>
          <w:b/>
          <w:bCs/>
          <w:sz w:val="24"/>
          <w:szCs w:val="24"/>
          <w:lang w:val="en-US"/>
        </w:rPr>
        <w:t>Biotechnology</w:t>
      </w:r>
    </w:p>
    <w:p w14:paraId="531120C5" w14:textId="77777777" w:rsidR="00753ED1" w:rsidRPr="008536BC" w:rsidRDefault="00753ED1" w:rsidP="00753ED1">
      <w:pPr>
        <w:spacing w:line="360" w:lineRule="auto"/>
        <w:ind w:left="284" w:hanging="284"/>
        <w:rPr>
          <w:rFonts w:ascii="Corbel" w:hAnsi="Corbel"/>
          <w:sz w:val="24"/>
          <w:szCs w:val="24"/>
          <w:lang w:val="en-US"/>
        </w:rPr>
      </w:pPr>
      <w:r w:rsidRPr="008536BC">
        <w:rPr>
          <w:rFonts w:ascii="Corbel" w:hAnsi="Corbel"/>
          <w:sz w:val="24"/>
          <w:szCs w:val="24"/>
          <w:lang w:val="en-US"/>
        </w:rPr>
        <w:t xml:space="preserve">Level: </w:t>
      </w:r>
      <w:r w:rsidRPr="008536BC">
        <w:rPr>
          <w:rFonts w:ascii="Corbel" w:hAnsi="Corbel"/>
          <w:b/>
          <w:bCs/>
          <w:sz w:val="24"/>
          <w:szCs w:val="24"/>
          <w:lang w:val="en-US"/>
        </w:rPr>
        <w:t>Bachelor's degree</w:t>
      </w:r>
    </w:p>
    <w:p w14:paraId="53231941" w14:textId="77777777" w:rsidR="00753ED1" w:rsidRPr="008536BC" w:rsidRDefault="00753ED1" w:rsidP="00753ED1">
      <w:pPr>
        <w:spacing w:line="360" w:lineRule="auto"/>
        <w:ind w:left="284" w:hanging="284"/>
        <w:rPr>
          <w:rFonts w:ascii="Corbel" w:hAnsi="Corbel"/>
          <w:sz w:val="24"/>
          <w:szCs w:val="24"/>
          <w:lang w:val="en-US"/>
        </w:rPr>
      </w:pPr>
      <w:r w:rsidRPr="008536BC">
        <w:rPr>
          <w:rFonts w:ascii="Corbel" w:hAnsi="Corbel"/>
          <w:sz w:val="24"/>
          <w:szCs w:val="24"/>
          <w:lang w:val="en-US"/>
        </w:rPr>
        <w:t xml:space="preserve">Form: </w:t>
      </w:r>
      <w:r w:rsidRPr="008536BC">
        <w:rPr>
          <w:rFonts w:ascii="Corbel" w:hAnsi="Corbel"/>
          <w:b/>
          <w:bCs/>
          <w:sz w:val="24"/>
          <w:szCs w:val="24"/>
          <w:lang w:val="en-US"/>
        </w:rPr>
        <w:t>Full-time (3.5 years)</w:t>
      </w:r>
    </w:p>
    <w:p w14:paraId="048CBDD7" w14:textId="77777777" w:rsidR="00753ED1" w:rsidRPr="008536BC" w:rsidRDefault="00753ED1" w:rsidP="00753ED1">
      <w:pPr>
        <w:spacing w:line="360" w:lineRule="auto"/>
        <w:ind w:left="284" w:hanging="284"/>
        <w:rPr>
          <w:rFonts w:ascii="Corbel" w:hAnsi="Corbel"/>
          <w:b/>
          <w:bCs/>
          <w:sz w:val="24"/>
          <w:szCs w:val="24"/>
          <w:lang w:val="en-US"/>
        </w:rPr>
      </w:pPr>
      <w:r w:rsidRPr="008536BC">
        <w:rPr>
          <w:rFonts w:ascii="Corbel" w:hAnsi="Corbel"/>
          <w:sz w:val="24"/>
          <w:szCs w:val="24"/>
          <w:lang w:val="en-US"/>
        </w:rPr>
        <w:t xml:space="preserve">Profile: </w:t>
      </w:r>
      <w:r w:rsidRPr="008536BC">
        <w:rPr>
          <w:rFonts w:ascii="Corbel" w:hAnsi="Corbel"/>
          <w:b/>
          <w:bCs/>
          <w:sz w:val="24"/>
          <w:szCs w:val="24"/>
          <w:lang w:val="en-US"/>
        </w:rPr>
        <w:t>Academic General</w:t>
      </w:r>
    </w:p>
    <w:p w14:paraId="6B0D75FA" w14:textId="77777777" w:rsidR="00753ED1" w:rsidRPr="008536BC" w:rsidRDefault="00753ED1" w:rsidP="00753ED1">
      <w:pPr>
        <w:spacing w:line="360" w:lineRule="auto"/>
        <w:ind w:left="284" w:hanging="284"/>
        <w:rPr>
          <w:rFonts w:ascii="Corbel" w:hAnsi="Corbel"/>
          <w:sz w:val="24"/>
          <w:szCs w:val="24"/>
          <w:lang w:val="en-US"/>
        </w:rPr>
      </w:pPr>
    </w:p>
    <w:p w14:paraId="21F58E97" w14:textId="7D64E593"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1. The programmatic professional internship is an integral part of the programme and schedule of studies for biotechnology.</w:t>
      </w:r>
    </w:p>
    <w:p w14:paraId="7CC04368" w14:textId="3666CD95"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2. The internship is carried out in accordance with the Plan of Programmatic Internships in force in the current academic year at the Faculty of Biotechnology. Prerequisites and other requirements for the student: completion of the first three semesters of engineering studies in biotechnology.</w:t>
      </w:r>
    </w:p>
    <w:p w14:paraId="6C92A067" w14:textId="50394103"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3. The internship can take place in economic units, units of state or local government administration, social institutions, health care facilities, research institutions, or other organisational units whose activities enable the achievement of the educational outcomes defined for the professional internship in the biotechnology field. The student can independently or with the help of the Internship Coordinator choose the place of internship in accordance with the chosen field of study in units located near the place of residence or the University headquarters and arrange all formalities related to its organisation. Students can also use the database of internship offers run by the Department of UR Student Recruitment and Careers.</w:t>
      </w:r>
    </w:p>
    <w:p w14:paraId="67E000C2" w14:textId="68D8669B"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 xml:space="preserve">4. The internship supervisor on behalf of the institution supervises the proper course of the internship, provides substantive and methodological advice and guidance during the analysis, and after their completion issues appropriate recommendations; confirms in the </w:t>
      </w:r>
      <w:r w:rsidRPr="008536BC">
        <w:rPr>
          <w:rFonts w:ascii="Corbel" w:hAnsi="Corbel"/>
          <w:sz w:val="24"/>
          <w:szCs w:val="24"/>
          <w:lang w:val="en-US"/>
        </w:rPr>
        <w:lastRenderedPageBreak/>
        <w:t>internship diary the course of each day of the internship; after the internship, discusses its course with the student and issues the student an opinion together with an assessment for the performance of assigned tasks.</w:t>
      </w:r>
    </w:p>
    <w:p w14:paraId="178A0160" w14:textId="77777777"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5. The internship coordinator:</w:t>
      </w:r>
    </w:p>
    <w:p w14:paraId="3E052A29" w14:textId="4299BBB0"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5.1. Verifies the places of professional internships indicated by students in terms of the profile of their activities and the equipment of the infrastructure appropriate for the purposes of professional internships.</w:t>
      </w:r>
    </w:p>
    <w:p w14:paraId="5DE25E71" w14:textId="2C0BBBD3"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5.2. Conducts internship visits, which consist of personal/telephone checking whether the student is carrying out the internship according to the schedule; and also to what extent the internship in progress enables the achievement of the learning outcomes foreseen in the education programme and professional skills development.</w:t>
      </w:r>
    </w:p>
    <w:p w14:paraId="77D787EB" w14:textId="146BDC6D"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5.3. Supervises the course of professional internships through their visits, as well as the evaluation of documentation confirming that the student has completed professional internships. The methods of verifying the achievement of the assumed educational/learning outcomes in the process of implementing professional internships include the internship diary, a certificate from the workplace confirming the internship, and the student's opinion on the course of the internships.</w:t>
      </w:r>
    </w:p>
    <w:p w14:paraId="22863098" w14:textId="77777777" w:rsidR="00753ED1"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5.4. Passes the placement with a mark.</w:t>
      </w:r>
    </w:p>
    <w:p w14:paraId="2864E660" w14:textId="156C04C8" w:rsidR="00942359" w:rsidRPr="008536BC" w:rsidRDefault="00753ED1" w:rsidP="00753ED1">
      <w:pPr>
        <w:spacing w:line="360" w:lineRule="auto"/>
        <w:ind w:left="284" w:hanging="284"/>
        <w:jc w:val="both"/>
        <w:rPr>
          <w:rFonts w:ascii="Corbel" w:hAnsi="Corbel"/>
          <w:sz w:val="24"/>
          <w:szCs w:val="24"/>
          <w:lang w:val="en-US"/>
        </w:rPr>
      </w:pPr>
      <w:r w:rsidRPr="008536BC">
        <w:rPr>
          <w:rFonts w:ascii="Corbel" w:hAnsi="Corbel"/>
          <w:sz w:val="24"/>
          <w:szCs w:val="24"/>
          <w:lang w:val="en-US"/>
        </w:rPr>
        <w:t>6. Assigned number of ECTS points - according to the applicable programme and schedule of studies for biotechnology.</w:t>
      </w:r>
    </w:p>
    <w:sectPr w:rsidR="00942359" w:rsidRPr="008536B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5CFB1" w14:textId="77777777" w:rsidR="003D1945" w:rsidRDefault="003D1945" w:rsidP="00753ED1">
      <w:pPr>
        <w:spacing w:after="0" w:line="240" w:lineRule="auto"/>
      </w:pPr>
      <w:r>
        <w:separator/>
      </w:r>
    </w:p>
  </w:endnote>
  <w:endnote w:type="continuationSeparator" w:id="0">
    <w:p w14:paraId="2E5C3C46" w14:textId="77777777" w:rsidR="003D1945" w:rsidRDefault="003D1945" w:rsidP="0075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A3A08" w14:textId="77777777" w:rsidR="003D1945" w:rsidRDefault="003D1945" w:rsidP="00753ED1">
      <w:pPr>
        <w:spacing w:after="0" w:line="240" w:lineRule="auto"/>
      </w:pPr>
      <w:r>
        <w:separator/>
      </w:r>
    </w:p>
  </w:footnote>
  <w:footnote w:type="continuationSeparator" w:id="0">
    <w:p w14:paraId="349B7E60" w14:textId="77777777" w:rsidR="003D1945" w:rsidRDefault="003D1945" w:rsidP="0075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07BD" w14:textId="503770C4" w:rsidR="002E6356" w:rsidRPr="008536BC" w:rsidRDefault="002E6356" w:rsidP="002E6356">
    <w:pPr>
      <w:pStyle w:val="Nagwek"/>
      <w:ind w:left="6521"/>
      <w:rPr>
        <w:rFonts w:ascii="Corbel" w:hAnsi="Corbel"/>
        <w:i/>
        <w:iCs/>
        <w:sz w:val="18"/>
        <w:szCs w:val="18"/>
        <w:lang w:val="en-US"/>
      </w:rPr>
    </w:pPr>
    <w:r w:rsidRPr="008536BC">
      <w:rPr>
        <w:rFonts w:ascii="Corbel" w:hAnsi="Corbel"/>
        <w:i/>
        <w:iCs/>
        <w:sz w:val="18"/>
        <w:szCs w:val="18"/>
        <w:lang w:val="en-US"/>
      </w:rPr>
      <w:t>At</w:t>
    </w:r>
    <w:r w:rsidR="00A87EEC" w:rsidRPr="008536BC">
      <w:rPr>
        <w:rFonts w:ascii="Corbel" w:hAnsi="Corbel"/>
        <w:i/>
        <w:iCs/>
        <w:sz w:val="18"/>
        <w:szCs w:val="18"/>
        <w:lang w:val="en-US"/>
      </w:rPr>
      <w:t>tachment 1 to Resolution No. 1/2025</w:t>
    </w:r>
    <w:r w:rsidRPr="008536BC">
      <w:rPr>
        <w:rFonts w:ascii="Corbel" w:hAnsi="Corbel"/>
        <w:i/>
        <w:iCs/>
        <w:sz w:val="18"/>
        <w:szCs w:val="18"/>
        <w:lang w:val="en-US"/>
      </w:rPr>
      <w:t xml:space="preserve"> of the Council of the Faculty of Biotechnology of the University of Rzeszów of </w:t>
    </w:r>
    <w:r w:rsidR="00A87EEC" w:rsidRPr="008536BC">
      <w:rPr>
        <w:rFonts w:ascii="Corbel" w:hAnsi="Corbel"/>
        <w:i/>
        <w:iCs/>
        <w:sz w:val="18"/>
        <w:szCs w:val="18"/>
        <w:lang w:val="en-US"/>
      </w:rPr>
      <w:t>March 10,2025.</w:t>
    </w:r>
  </w:p>
  <w:p w14:paraId="5EB9596B" w14:textId="1EE53CC5" w:rsidR="00753ED1" w:rsidRPr="008536BC" w:rsidRDefault="00753ED1" w:rsidP="002E6356">
    <w:pPr>
      <w:pStyle w:val="Nagwek"/>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D1"/>
    <w:rsid w:val="002E6356"/>
    <w:rsid w:val="003D1945"/>
    <w:rsid w:val="00753ED1"/>
    <w:rsid w:val="007A1023"/>
    <w:rsid w:val="007A4DBD"/>
    <w:rsid w:val="008536BC"/>
    <w:rsid w:val="00942359"/>
    <w:rsid w:val="00970203"/>
    <w:rsid w:val="00982235"/>
    <w:rsid w:val="00A87EEC"/>
    <w:rsid w:val="00C77BA7"/>
    <w:rsid w:val="00F55E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5D4A"/>
  <w15:chartTrackingRefBased/>
  <w15:docId w15:val="{34F91B67-C581-41FB-AEAC-343217A1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53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53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53ED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53ED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53ED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53ED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3ED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3ED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3ED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3ED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53ED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53ED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53ED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53ED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53ED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3ED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3ED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3ED1"/>
    <w:rPr>
      <w:rFonts w:eastAsiaTheme="majorEastAsia" w:cstheme="majorBidi"/>
      <w:color w:val="272727" w:themeColor="text1" w:themeTint="D8"/>
    </w:rPr>
  </w:style>
  <w:style w:type="paragraph" w:styleId="Tytu">
    <w:name w:val="Title"/>
    <w:basedOn w:val="Normalny"/>
    <w:next w:val="Normalny"/>
    <w:link w:val="TytuZnak"/>
    <w:uiPriority w:val="10"/>
    <w:qFormat/>
    <w:rsid w:val="00753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3ED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3ED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3ED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3ED1"/>
    <w:pPr>
      <w:spacing w:before="160"/>
      <w:jc w:val="center"/>
    </w:pPr>
    <w:rPr>
      <w:i/>
      <w:iCs/>
      <w:color w:val="404040" w:themeColor="text1" w:themeTint="BF"/>
    </w:rPr>
  </w:style>
  <w:style w:type="character" w:customStyle="1" w:styleId="CytatZnak">
    <w:name w:val="Cytat Znak"/>
    <w:basedOn w:val="Domylnaczcionkaakapitu"/>
    <w:link w:val="Cytat"/>
    <w:uiPriority w:val="29"/>
    <w:rsid w:val="00753ED1"/>
    <w:rPr>
      <w:i/>
      <w:iCs/>
      <w:color w:val="404040" w:themeColor="text1" w:themeTint="BF"/>
    </w:rPr>
  </w:style>
  <w:style w:type="paragraph" w:styleId="Akapitzlist">
    <w:name w:val="List Paragraph"/>
    <w:basedOn w:val="Normalny"/>
    <w:uiPriority w:val="34"/>
    <w:qFormat/>
    <w:rsid w:val="00753ED1"/>
    <w:pPr>
      <w:ind w:left="720"/>
      <w:contextualSpacing/>
    </w:pPr>
  </w:style>
  <w:style w:type="character" w:styleId="Wyrnienieintensywne">
    <w:name w:val="Intense Emphasis"/>
    <w:basedOn w:val="Domylnaczcionkaakapitu"/>
    <w:uiPriority w:val="21"/>
    <w:qFormat/>
    <w:rsid w:val="00753ED1"/>
    <w:rPr>
      <w:i/>
      <w:iCs/>
      <w:color w:val="0F4761" w:themeColor="accent1" w:themeShade="BF"/>
    </w:rPr>
  </w:style>
  <w:style w:type="paragraph" w:styleId="Cytatintensywny">
    <w:name w:val="Intense Quote"/>
    <w:basedOn w:val="Normalny"/>
    <w:next w:val="Normalny"/>
    <w:link w:val="CytatintensywnyZnak"/>
    <w:uiPriority w:val="30"/>
    <w:qFormat/>
    <w:rsid w:val="00753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53ED1"/>
    <w:rPr>
      <w:i/>
      <w:iCs/>
      <w:color w:val="0F4761" w:themeColor="accent1" w:themeShade="BF"/>
    </w:rPr>
  </w:style>
  <w:style w:type="character" w:styleId="Odwoanieintensywne">
    <w:name w:val="Intense Reference"/>
    <w:basedOn w:val="Domylnaczcionkaakapitu"/>
    <w:uiPriority w:val="32"/>
    <w:qFormat/>
    <w:rsid w:val="00753ED1"/>
    <w:rPr>
      <w:b/>
      <w:bCs/>
      <w:smallCaps/>
      <w:color w:val="0F4761" w:themeColor="accent1" w:themeShade="BF"/>
      <w:spacing w:val="5"/>
    </w:rPr>
  </w:style>
  <w:style w:type="paragraph" w:styleId="Nagwek">
    <w:name w:val="header"/>
    <w:basedOn w:val="Normalny"/>
    <w:link w:val="NagwekZnak"/>
    <w:uiPriority w:val="99"/>
    <w:unhideWhenUsed/>
    <w:rsid w:val="00753E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3ED1"/>
  </w:style>
  <w:style w:type="paragraph" w:styleId="Stopka">
    <w:name w:val="footer"/>
    <w:basedOn w:val="Normalny"/>
    <w:link w:val="StopkaZnak"/>
    <w:uiPriority w:val="99"/>
    <w:unhideWhenUsed/>
    <w:rsid w:val="00753E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2633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Słowik-Borowiec</dc:creator>
  <cp:keywords/>
  <dc:description/>
  <cp:lastModifiedBy>Bartek</cp:lastModifiedBy>
  <cp:revision>2</cp:revision>
  <dcterms:created xsi:type="dcterms:W3CDTF">2025-03-26T09:35:00Z</dcterms:created>
  <dcterms:modified xsi:type="dcterms:W3CDTF">2025-03-26T09:35:00Z</dcterms:modified>
</cp:coreProperties>
</file>