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0560F" w14:textId="01E0B2BB" w:rsidR="00ED23F9" w:rsidRPr="00DE378B" w:rsidRDefault="00ED23F9" w:rsidP="00DE378B">
      <w:pPr>
        <w:jc w:val="center"/>
        <w:rPr>
          <w:rFonts w:ascii="Corbel" w:hAnsi="Corbel"/>
          <w:b/>
          <w:bCs/>
          <w:sz w:val="24"/>
          <w:szCs w:val="24"/>
        </w:rPr>
      </w:pPr>
      <w:bookmarkStart w:id="0" w:name="_GoBack"/>
      <w:r w:rsidRPr="00DE378B">
        <w:rPr>
          <w:rFonts w:ascii="Corbel" w:hAnsi="Corbel"/>
          <w:b/>
          <w:bCs/>
          <w:sz w:val="24"/>
          <w:szCs w:val="24"/>
        </w:rPr>
        <w:t>SZCZEGÓŁOWE WYTYCZNE DO ORGANIZACJI I ODBYWANIA</w:t>
      </w:r>
    </w:p>
    <w:p w14:paraId="2FD27842" w14:textId="24356715" w:rsidR="00ED23F9" w:rsidRDefault="00ED23F9" w:rsidP="00DE378B">
      <w:pPr>
        <w:jc w:val="center"/>
        <w:rPr>
          <w:rFonts w:ascii="Corbel" w:hAnsi="Corbel"/>
          <w:b/>
          <w:bCs/>
          <w:sz w:val="24"/>
          <w:szCs w:val="24"/>
        </w:rPr>
      </w:pPr>
      <w:r w:rsidRPr="00DE378B">
        <w:rPr>
          <w:rFonts w:ascii="Corbel" w:hAnsi="Corbel"/>
          <w:b/>
          <w:bCs/>
          <w:sz w:val="24"/>
          <w:szCs w:val="24"/>
        </w:rPr>
        <w:t>PROGRAMOWYCH PRAKTYK ZAWODOWYCH</w:t>
      </w:r>
    </w:p>
    <w:bookmarkEnd w:id="0"/>
    <w:p w14:paraId="01F57AF7" w14:textId="77777777" w:rsidR="00DE378B" w:rsidRPr="00DE378B" w:rsidRDefault="00DE378B" w:rsidP="00DE378B">
      <w:pPr>
        <w:jc w:val="center"/>
        <w:rPr>
          <w:rFonts w:ascii="Corbel" w:hAnsi="Corbel"/>
          <w:b/>
          <w:bCs/>
          <w:sz w:val="24"/>
          <w:szCs w:val="24"/>
        </w:rPr>
      </w:pPr>
    </w:p>
    <w:p w14:paraId="385C4AA7" w14:textId="77777777" w:rsidR="00ED23F9" w:rsidRPr="00DE378B" w:rsidRDefault="00ED23F9" w:rsidP="00ED23F9">
      <w:pPr>
        <w:rPr>
          <w:rFonts w:ascii="Corbel" w:hAnsi="Corbel"/>
          <w:sz w:val="24"/>
          <w:szCs w:val="24"/>
        </w:rPr>
      </w:pPr>
      <w:r w:rsidRPr="00DE378B">
        <w:rPr>
          <w:rFonts w:ascii="Corbel" w:hAnsi="Corbel"/>
          <w:sz w:val="24"/>
          <w:szCs w:val="24"/>
        </w:rPr>
        <w:t xml:space="preserve">Kierunek − </w:t>
      </w:r>
      <w:r w:rsidRPr="00DE378B">
        <w:rPr>
          <w:rFonts w:ascii="Corbel" w:hAnsi="Corbel"/>
          <w:b/>
          <w:bCs/>
          <w:sz w:val="24"/>
          <w:szCs w:val="24"/>
        </w:rPr>
        <w:t xml:space="preserve">BIOTECHNOLOGIA </w:t>
      </w:r>
    </w:p>
    <w:p w14:paraId="47A8B7DE" w14:textId="77777777" w:rsidR="00ED23F9" w:rsidRPr="00DE378B" w:rsidRDefault="00ED23F9" w:rsidP="00ED23F9">
      <w:pPr>
        <w:rPr>
          <w:rFonts w:ascii="Corbel" w:hAnsi="Corbel"/>
          <w:sz w:val="24"/>
          <w:szCs w:val="24"/>
        </w:rPr>
      </w:pPr>
      <w:r w:rsidRPr="00DE378B">
        <w:rPr>
          <w:rFonts w:ascii="Corbel" w:hAnsi="Corbel"/>
          <w:sz w:val="24"/>
          <w:szCs w:val="24"/>
        </w:rPr>
        <w:t xml:space="preserve">Poziom − </w:t>
      </w:r>
      <w:r w:rsidRPr="00DE378B">
        <w:rPr>
          <w:rFonts w:ascii="Corbel" w:hAnsi="Corbel"/>
          <w:b/>
          <w:bCs/>
          <w:sz w:val="24"/>
          <w:szCs w:val="24"/>
        </w:rPr>
        <w:t>I stopnia</w:t>
      </w:r>
      <w:r w:rsidRPr="00DE378B">
        <w:rPr>
          <w:rFonts w:ascii="Corbel" w:hAnsi="Corbel"/>
          <w:sz w:val="24"/>
          <w:szCs w:val="24"/>
        </w:rPr>
        <w:t xml:space="preserve"> </w:t>
      </w:r>
    </w:p>
    <w:p w14:paraId="2EA29944" w14:textId="77777777" w:rsidR="00ED23F9" w:rsidRPr="00DE378B" w:rsidRDefault="00ED23F9" w:rsidP="00ED23F9">
      <w:pPr>
        <w:rPr>
          <w:rFonts w:ascii="Corbel" w:hAnsi="Corbel"/>
          <w:b/>
          <w:bCs/>
          <w:sz w:val="24"/>
          <w:szCs w:val="24"/>
        </w:rPr>
      </w:pPr>
      <w:r w:rsidRPr="00DE378B">
        <w:rPr>
          <w:rFonts w:ascii="Corbel" w:hAnsi="Corbel"/>
          <w:sz w:val="24"/>
          <w:szCs w:val="24"/>
        </w:rPr>
        <w:t xml:space="preserve">Forma − </w:t>
      </w:r>
      <w:r w:rsidRPr="00DE378B">
        <w:rPr>
          <w:rFonts w:ascii="Corbel" w:hAnsi="Corbel"/>
          <w:b/>
          <w:bCs/>
          <w:sz w:val="24"/>
          <w:szCs w:val="24"/>
        </w:rPr>
        <w:t xml:space="preserve">stacjonarne (3,5-l) </w:t>
      </w:r>
    </w:p>
    <w:p w14:paraId="2EDE8279" w14:textId="77777777" w:rsidR="00ED23F9" w:rsidRPr="00DE378B" w:rsidRDefault="00ED23F9" w:rsidP="00ED23F9">
      <w:pPr>
        <w:rPr>
          <w:rFonts w:ascii="Corbel" w:hAnsi="Corbel"/>
          <w:sz w:val="24"/>
          <w:szCs w:val="24"/>
        </w:rPr>
      </w:pPr>
      <w:r w:rsidRPr="00DE378B">
        <w:rPr>
          <w:rFonts w:ascii="Corbel" w:hAnsi="Corbel"/>
          <w:sz w:val="24"/>
          <w:szCs w:val="24"/>
        </w:rPr>
        <w:t xml:space="preserve">Profil kształcenia − </w:t>
      </w:r>
      <w:proofErr w:type="spellStart"/>
      <w:r w:rsidRPr="00DE378B">
        <w:rPr>
          <w:rFonts w:ascii="Corbel" w:hAnsi="Corbel"/>
          <w:b/>
          <w:bCs/>
          <w:sz w:val="24"/>
          <w:szCs w:val="24"/>
        </w:rPr>
        <w:t>ogólnoakademicki</w:t>
      </w:r>
      <w:proofErr w:type="spellEnd"/>
      <w:r w:rsidRPr="00DE378B">
        <w:rPr>
          <w:rFonts w:ascii="Corbel" w:hAnsi="Corbel"/>
          <w:b/>
          <w:bCs/>
          <w:sz w:val="24"/>
          <w:szCs w:val="24"/>
        </w:rPr>
        <w:t xml:space="preserve"> </w:t>
      </w:r>
    </w:p>
    <w:p w14:paraId="27C3EBF0" w14:textId="77777777" w:rsidR="00DE378B" w:rsidRDefault="00DE378B" w:rsidP="00ED23F9">
      <w:pPr>
        <w:rPr>
          <w:rFonts w:ascii="Corbel" w:hAnsi="Corbel"/>
          <w:sz w:val="24"/>
          <w:szCs w:val="24"/>
        </w:rPr>
      </w:pPr>
    </w:p>
    <w:p w14:paraId="3F1C54FD" w14:textId="76D8680A" w:rsidR="00ED23F9" w:rsidRPr="00DE378B" w:rsidRDefault="00ED23F9" w:rsidP="00DE378B">
      <w:pPr>
        <w:pStyle w:val="Akapitzlist"/>
        <w:numPr>
          <w:ilvl w:val="0"/>
          <w:numId w:val="1"/>
        </w:numPr>
        <w:spacing w:line="360" w:lineRule="auto"/>
        <w:ind w:left="284" w:hanging="284"/>
        <w:contextualSpacing w:val="0"/>
        <w:jc w:val="both"/>
        <w:rPr>
          <w:rFonts w:ascii="Corbel" w:hAnsi="Corbel"/>
          <w:sz w:val="24"/>
          <w:szCs w:val="24"/>
        </w:rPr>
      </w:pPr>
      <w:r w:rsidRPr="00DE378B">
        <w:rPr>
          <w:rFonts w:ascii="Corbel" w:hAnsi="Corbel"/>
          <w:sz w:val="24"/>
          <w:szCs w:val="24"/>
        </w:rPr>
        <w:t xml:space="preserve">Programowa praktyka zawodowa jest integralną częścią programu i harmonogramu studiów dla kierunku biotechnologia.  </w:t>
      </w:r>
    </w:p>
    <w:p w14:paraId="5CA3DB16" w14:textId="29F3EC29" w:rsidR="00ED23F9" w:rsidRDefault="00ED23F9" w:rsidP="00DE378B">
      <w:pPr>
        <w:pStyle w:val="Akapitzlist"/>
        <w:numPr>
          <w:ilvl w:val="0"/>
          <w:numId w:val="1"/>
        </w:numPr>
        <w:spacing w:line="360" w:lineRule="auto"/>
        <w:ind w:left="284" w:hanging="284"/>
        <w:contextualSpacing w:val="0"/>
        <w:jc w:val="both"/>
        <w:rPr>
          <w:rFonts w:ascii="Corbel" w:hAnsi="Corbel"/>
          <w:sz w:val="24"/>
          <w:szCs w:val="24"/>
        </w:rPr>
      </w:pPr>
      <w:r w:rsidRPr="00DE378B">
        <w:rPr>
          <w:rFonts w:ascii="Corbel" w:hAnsi="Corbel"/>
          <w:sz w:val="24"/>
          <w:szCs w:val="24"/>
        </w:rPr>
        <w:t xml:space="preserve">Praktyka jest realizowana zgodnie z Planem praktyk programowych obowiązującym </w:t>
      </w:r>
      <w:r w:rsidR="00DE378B">
        <w:rPr>
          <w:rFonts w:ascii="Corbel" w:hAnsi="Corbel"/>
          <w:sz w:val="24"/>
          <w:szCs w:val="24"/>
        </w:rPr>
        <w:br/>
      </w:r>
      <w:r w:rsidRPr="00DE378B">
        <w:rPr>
          <w:rFonts w:ascii="Corbel" w:hAnsi="Corbel"/>
          <w:sz w:val="24"/>
          <w:szCs w:val="24"/>
        </w:rPr>
        <w:t xml:space="preserve">w danym roku akademickim </w:t>
      </w:r>
      <w:r w:rsidRPr="00854E71">
        <w:rPr>
          <w:rFonts w:ascii="Corbel" w:hAnsi="Corbel"/>
          <w:sz w:val="24"/>
          <w:szCs w:val="24"/>
        </w:rPr>
        <w:t xml:space="preserve">w </w:t>
      </w:r>
      <w:r w:rsidR="00DE378B" w:rsidRPr="00854E71">
        <w:rPr>
          <w:rFonts w:ascii="Corbel" w:hAnsi="Corbel"/>
          <w:sz w:val="24"/>
          <w:szCs w:val="24"/>
        </w:rPr>
        <w:t>Wydziale Biotechnologii</w:t>
      </w:r>
      <w:r w:rsidRPr="00854E71">
        <w:rPr>
          <w:rFonts w:ascii="Corbel" w:hAnsi="Corbel"/>
          <w:sz w:val="24"/>
          <w:szCs w:val="24"/>
        </w:rPr>
        <w:t>.</w:t>
      </w:r>
      <w:r w:rsidR="00DE378B" w:rsidRPr="00854E71">
        <w:rPr>
          <w:rFonts w:ascii="Corbel" w:hAnsi="Corbel"/>
          <w:sz w:val="24"/>
          <w:szCs w:val="24"/>
        </w:rPr>
        <w:t xml:space="preserve"> </w:t>
      </w:r>
      <w:r w:rsidRPr="00854E71">
        <w:rPr>
          <w:rFonts w:ascii="Corbel" w:hAnsi="Corbel"/>
          <w:sz w:val="24"/>
          <w:szCs w:val="24"/>
        </w:rPr>
        <w:t xml:space="preserve">Wymagania </w:t>
      </w:r>
      <w:r w:rsidRPr="00DE378B">
        <w:rPr>
          <w:rFonts w:ascii="Corbel" w:hAnsi="Corbel"/>
          <w:sz w:val="24"/>
          <w:szCs w:val="24"/>
        </w:rPr>
        <w:t xml:space="preserve">wstępne i inne wymagania wobec studenta - ukończenie pierwszych trzech semestrów studiów inżynierskich na kierunku biotechnologia. </w:t>
      </w:r>
    </w:p>
    <w:p w14:paraId="23C360D0" w14:textId="56662847" w:rsidR="00ED23F9" w:rsidRPr="00DE378B" w:rsidRDefault="00ED23F9" w:rsidP="00DE378B">
      <w:pPr>
        <w:pStyle w:val="Akapitzlist"/>
        <w:numPr>
          <w:ilvl w:val="0"/>
          <w:numId w:val="1"/>
        </w:numPr>
        <w:spacing w:line="360" w:lineRule="auto"/>
        <w:ind w:left="284" w:hanging="284"/>
        <w:contextualSpacing w:val="0"/>
        <w:jc w:val="both"/>
        <w:rPr>
          <w:rFonts w:ascii="Corbel" w:hAnsi="Corbel"/>
          <w:sz w:val="24"/>
          <w:szCs w:val="24"/>
        </w:rPr>
      </w:pPr>
      <w:r w:rsidRPr="00DE378B">
        <w:rPr>
          <w:rFonts w:ascii="Corbel" w:hAnsi="Corbel"/>
          <w:sz w:val="24"/>
          <w:szCs w:val="24"/>
        </w:rPr>
        <w:t>Praktyka może się odbywać w jednostkach gospodarczych, jednostkach administracji państwowej lub samorządowej, instytucjach społecznych, placówkach służby zdrowia, instytucjach naukowo</w:t>
      </w:r>
      <w:r w:rsidR="00DE378B" w:rsidRPr="00DE378B">
        <w:rPr>
          <w:rFonts w:ascii="Corbel" w:hAnsi="Corbel"/>
          <w:sz w:val="24"/>
          <w:szCs w:val="24"/>
        </w:rPr>
        <w:t xml:space="preserve"> </w:t>
      </w:r>
      <w:r w:rsidRPr="00DE378B">
        <w:rPr>
          <w:rFonts w:ascii="Corbel" w:hAnsi="Corbel"/>
          <w:sz w:val="24"/>
          <w:szCs w:val="24"/>
        </w:rPr>
        <w:t xml:space="preserve">badawczych lub innych jednostkach organizacyjnych, których działalność umożliwia uzyskanie efektów kształcenia zdefiniowanych dla praktyki zawodowej na kierunku Biotechnologia. Student może samodzielnie lub przy pomocy Koordynatora Praktyk wybrać miejsce odbywania praktyki zgodnie z podjętym kierunkiem studiów w jednostkach zlokalizowanych w pobliżu miejsca zamieszkania lub siedziby Uczelni oraz załatwia wszelkie formalności związane z jej organizacją. Studenci mogą również korzystać z bazy ofert praktyk prowadzonej przez Dział Rekrutacji i Karier Studenckich UR. </w:t>
      </w:r>
    </w:p>
    <w:p w14:paraId="2529F025" w14:textId="1C86105B" w:rsidR="00ED23F9" w:rsidRPr="00DE378B" w:rsidRDefault="00ED23F9" w:rsidP="00DE378B">
      <w:pPr>
        <w:spacing w:line="360" w:lineRule="auto"/>
        <w:ind w:left="284" w:hanging="284"/>
        <w:jc w:val="both"/>
        <w:rPr>
          <w:rFonts w:ascii="Corbel" w:hAnsi="Corbel"/>
          <w:sz w:val="24"/>
          <w:szCs w:val="24"/>
        </w:rPr>
      </w:pPr>
      <w:r w:rsidRPr="00DE378B">
        <w:rPr>
          <w:rFonts w:ascii="Corbel" w:hAnsi="Corbel"/>
          <w:sz w:val="24"/>
          <w:szCs w:val="24"/>
        </w:rPr>
        <w:t xml:space="preserve">4. Opiekun praktyki z ramienia instytucji czuwa nad właściwym przebiegiem praktyki, udziela merytorycznych i metodycznych rad i wskazówek w trakcie przeprowadzania analiz, a po ich przeprowadzeniu wydaje stosowne zalecenia; potwierdza w dzienniku praktyk </w:t>
      </w:r>
      <w:r w:rsidRPr="00DE378B">
        <w:rPr>
          <w:rFonts w:ascii="Corbel" w:hAnsi="Corbel"/>
          <w:sz w:val="24"/>
          <w:szCs w:val="24"/>
        </w:rPr>
        <w:lastRenderedPageBreak/>
        <w:t xml:space="preserve">przebieg każdego dnia praktyki; po zakończeniu praktyki omawia ze studentem jej przebieg i wystawia studentowi opinię wraz z oceną za wykonanie powierzonych zadań. </w:t>
      </w:r>
    </w:p>
    <w:p w14:paraId="5DAE562D" w14:textId="5E2E440E" w:rsidR="00ED23F9" w:rsidRPr="00DE378B" w:rsidRDefault="00ED23F9" w:rsidP="00DE378B">
      <w:pPr>
        <w:spacing w:line="360" w:lineRule="auto"/>
        <w:ind w:left="284" w:hanging="284"/>
        <w:jc w:val="both"/>
        <w:rPr>
          <w:rFonts w:ascii="Corbel" w:hAnsi="Corbel"/>
          <w:sz w:val="24"/>
          <w:szCs w:val="24"/>
        </w:rPr>
      </w:pPr>
      <w:r w:rsidRPr="00DE378B">
        <w:rPr>
          <w:rFonts w:ascii="Corbel" w:hAnsi="Corbel"/>
          <w:sz w:val="24"/>
          <w:szCs w:val="24"/>
        </w:rPr>
        <w:t xml:space="preserve">5. Koordynator praktyk: </w:t>
      </w:r>
    </w:p>
    <w:p w14:paraId="4760FE44" w14:textId="2FF5B47D" w:rsidR="00ED23F9" w:rsidRPr="00DE378B" w:rsidRDefault="00ED23F9" w:rsidP="00DE378B">
      <w:pPr>
        <w:spacing w:line="360" w:lineRule="auto"/>
        <w:ind w:left="284" w:hanging="284"/>
        <w:jc w:val="both"/>
        <w:rPr>
          <w:rFonts w:ascii="Corbel" w:hAnsi="Corbel"/>
          <w:sz w:val="24"/>
          <w:szCs w:val="24"/>
        </w:rPr>
      </w:pPr>
      <w:r w:rsidRPr="00DE378B">
        <w:rPr>
          <w:rFonts w:ascii="Corbel" w:hAnsi="Corbel"/>
          <w:sz w:val="24"/>
          <w:szCs w:val="24"/>
        </w:rPr>
        <w:t xml:space="preserve">5.1. weryfikuje miejsca realizacji praktyk zawodowych wskazane przez studentów pod względem profilu ich działalności oraz wyposażenia w infrastrukturę odpowiednią do celów praktyk zawodowych; </w:t>
      </w:r>
    </w:p>
    <w:p w14:paraId="2598FF21" w14:textId="455A080E" w:rsidR="00ED23F9" w:rsidRPr="00DE378B" w:rsidRDefault="00ED23F9" w:rsidP="00DE378B">
      <w:pPr>
        <w:spacing w:line="360" w:lineRule="auto"/>
        <w:ind w:left="284" w:hanging="284"/>
        <w:jc w:val="both"/>
        <w:rPr>
          <w:rFonts w:ascii="Corbel" w:hAnsi="Corbel"/>
          <w:sz w:val="24"/>
          <w:szCs w:val="24"/>
        </w:rPr>
      </w:pPr>
      <w:r w:rsidRPr="00DE378B">
        <w:rPr>
          <w:rFonts w:ascii="Corbel" w:hAnsi="Corbel"/>
          <w:sz w:val="24"/>
          <w:szCs w:val="24"/>
        </w:rPr>
        <w:t xml:space="preserve">5.2. przeprowadza hospitacje praktyk zawodowych, które polegają na osobistym / telefonicznym sprawdzeniu czy student realizuje praktykę zgodnie z harmonogramem; </w:t>
      </w:r>
      <w:r w:rsidR="00DE378B">
        <w:rPr>
          <w:rFonts w:ascii="Corbel" w:hAnsi="Corbel"/>
          <w:sz w:val="24"/>
          <w:szCs w:val="24"/>
        </w:rPr>
        <w:br/>
      </w:r>
      <w:r w:rsidRPr="00DE378B">
        <w:rPr>
          <w:rFonts w:ascii="Corbel" w:hAnsi="Corbel"/>
          <w:sz w:val="24"/>
          <w:szCs w:val="24"/>
        </w:rPr>
        <w:t xml:space="preserve">a także w jakim stopniu realizowana praktyka umożliwia osiągnięcie efektów uczenia się przewidzianych w programie kształcenia i doskonalenia umiejętności zawodowych; </w:t>
      </w:r>
    </w:p>
    <w:p w14:paraId="5634731B" w14:textId="7D79D129" w:rsidR="00ED23F9" w:rsidRPr="00DE378B" w:rsidRDefault="00ED23F9" w:rsidP="00DE378B">
      <w:pPr>
        <w:spacing w:line="360" w:lineRule="auto"/>
        <w:ind w:left="284" w:hanging="284"/>
        <w:jc w:val="both"/>
        <w:rPr>
          <w:rFonts w:ascii="Corbel" w:hAnsi="Corbel"/>
          <w:sz w:val="24"/>
          <w:szCs w:val="24"/>
        </w:rPr>
      </w:pPr>
      <w:r w:rsidRPr="00DE378B">
        <w:rPr>
          <w:rFonts w:ascii="Corbel" w:hAnsi="Corbel"/>
          <w:sz w:val="24"/>
          <w:szCs w:val="24"/>
        </w:rPr>
        <w:t xml:space="preserve">5.3. prowadzi nadzór nad przebiegiem praktyk zawodowych poprzez ich hospitacje, a także ocenę dokumentacji potwierdzającej odbycie przez studenta praktyk zawodowych. Do metod weryfikacji osiągnięcia zakładanych efektów kształcenia / uczenia się w procesie realizacji praktyk zawodowych należy dziennik praktyk zawodowych, zaświadczenie </w:t>
      </w:r>
      <w:r w:rsidR="00DE378B">
        <w:rPr>
          <w:rFonts w:ascii="Corbel" w:hAnsi="Corbel"/>
          <w:sz w:val="24"/>
          <w:szCs w:val="24"/>
        </w:rPr>
        <w:br/>
      </w:r>
      <w:r w:rsidRPr="00DE378B">
        <w:rPr>
          <w:rFonts w:ascii="Corbel" w:hAnsi="Corbel"/>
          <w:sz w:val="24"/>
          <w:szCs w:val="24"/>
        </w:rPr>
        <w:t xml:space="preserve">z zakładu pracy potwierdzającego odbycie praktyki oraz opinia studenta o przebiegu praktyk; </w:t>
      </w:r>
    </w:p>
    <w:p w14:paraId="3530C59A" w14:textId="77777777" w:rsidR="00ED23F9" w:rsidRPr="00DE378B" w:rsidRDefault="00ED23F9" w:rsidP="00DE378B">
      <w:pPr>
        <w:spacing w:line="360" w:lineRule="auto"/>
        <w:ind w:left="284" w:hanging="284"/>
        <w:jc w:val="both"/>
        <w:rPr>
          <w:rFonts w:ascii="Corbel" w:hAnsi="Corbel"/>
          <w:sz w:val="24"/>
          <w:szCs w:val="24"/>
        </w:rPr>
      </w:pPr>
      <w:r w:rsidRPr="00DE378B">
        <w:rPr>
          <w:rFonts w:ascii="Corbel" w:hAnsi="Corbel"/>
          <w:sz w:val="24"/>
          <w:szCs w:val="24"/>
        </w:rPr>
        <w:t xml:space="preserve">5.4. zalicza praktykę na ocenę. </w:t>
      </w:r>
    </w:p>
    <w:p w14:paraId="49FBF76E" w14:textId="0E710548" w:rsidR="00942359" w:rsidRPr="00DE378B" w:rsidRDefault="00ED23F9" w:rsidP="00DE378B">
      <w:pPr>
        <w:spacing w:line="360" w:lineRule="auto"/>
        <w:ind w:left="284" w:hanging="284"/>
        <w:jc w:val="both"/>
        <w:rPr>
          <w:rFonts w:ascii="Corbel" w:hAnsi="Corbel"/>
          <w:sz w:val="24"/>
          <w:szCs w:val="24"/>
        </w:rPr>
      </w:pPr>
      <w:r w:rsidRPr="00DE378B">
        <w:rPr>
          <w:rFonts w:ascii="Corbel" w:hAnsi="Corbel"/>
          <w:sz w:val="24"/>
          <w:szCs w:val="24"/>
        </w:rPr>
        <w:t>6. Przypisana liczba punktów ECTS – zgodnie obowiązującym programem i harmonogramem studiów dla kierunku biotechnologia</w:t>
      </w:r>
    </w:p>
    <w:sectPr w:rsidR="00942359" w:rsidRPr="00DE378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BBE7F" w14:textId="77777777" w:rsidR="000C0809" w:rsidRDefault="000C0809" w:rsidP="00ED23F9">
      <w:pPr>
        <w:spacing w:after="0" w:line="240" w:lineRule="auto"/>
      </w:pPr>
      <w:r>
        <w:separator/>
      </w:r>
    </w:p>
  </w:endnote>
  <w:endnote w:type="continuationSeparator" w:id="0">
    <w:p w14:paraId="3A505BE6" w14:textId="77777777" w:rsidR="000C0809" w:rsidRDefault="000C0809" w:rsidP="00E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B4992" w14:textId="77777777" w:rsidR="000C0809" w:rsidRDefault="000C0809" w:rsidP="00ED23F9">
      <w:pPr>
        <w:spacing w:after="0" w:line="240" w:lineRule="auto"/>
      </w:pPr>
      <w:r>
        <w:separator/>
      </w:r>
    </w:p>
  </w:footnote>
  <w:footnote w:type="continuationSeparator" w:id="0">
    <w:p w14:paraId="760ED521" w14:textId="77777777" w:rsidR="000C0809" w:rsidRDefault="000C0809" w:rsidP="00ED2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DE38" w14:textId="51DC86B3" w:rsidR="00ED23F9" w:rsidRPr="00854E71" w:rsidRDefault="00ED23F9" w:rsidP="00ED23F9">
    <w:pPr>
      <w:spacing w:after="0" w:line="240" w:lineRule="auto"/>
      <w:jc w:val="right"/>
      <w:rPr>
        <w:rFonts w:ascii="Corbel" w:eastAsia="Calibri" w:hAnsi="Corbel" w:cs="Calibri"/>
        <w:b/>
        <w:i/>
        <w:caps/>
        <w:kern w:val="0"/>
        <w:sz w:val="18"/>
        <w:szCs w:val="18"/>
        <w14:ligatures w14:val="none"/>
      </w:rPr>
    </w:pPr>
    <w:r w:rsidRPr="00854E71">
      <w:rPr>
        <w:rFonts w:ascii="Corbel" w:eastAsia="Calibri" w:hAnsi="Corbel" w:cs="Calibri"/>
        <w:b/>
        <w:i/>
        <w:caps/>
        <w:kern w:val="0"/>
        <w:sz w:val="18"/>
        <w:szCs w:val="18"/>
        <w14:ligatures w14:val="none"/>
      </w:rPr>
      <w:t>Załącznik nr 1</w:t>
    </w:r>
  </w:p>
  <w:p w14:paraId="090CF75E" w14:textId="37EC302C" w:rsidR="00ED23F9" w:rsidRPr="00854E71" w:rsidRDefault="00722D1B" w:rsidP="00ED23F9">
    <w:pPr>
      <w:spacing w:after="0" w:line="240" w:lineRule="auto"/>
      <w:jc w:val="right"/>
      <w:rPr>
        <w:rFonts w:ascii="Corbel" w:eastAsia="Calibri" w:hAnsi="Corbel" w:cs="Calibri"/>
        <w:b/>
        <w:i/>
        <w:kern w:val="0"/>
        <w:sz w:val="18"/>
        <w:szCs w:val="18"/>
        <w14:ligatures w14:val="none"/>
      </w:rPr>
    </w:pPr>
    <w:r>
      <w:rPr>
        <w:rFonts w:ascii="Corbel" w:eastAsia="Calibri" w:hAnsi="Corbel" w:cs="Calibri"/>
        <w:b/>
        <w:i/>
        <w:kern w:val="0"/>
        <w:sz w:val="18"/>
        <w:szCs w:val="18"/>
        <w14:ligatures w14:val="none"/>
      </w:rPr>
      <w:t>do Uchwały nr 1/2025</w:t>
    </w:r>
  </w:p>
  <w:p w14:paraId="04DC31ED" w14:textId="6B70744F" w:rsidR="00ED23F9" w:rsidRPr="00854E71" w:rsidRDefault="00ED23F9" w:rsidP="00ED23F9">
    <w:pPr>
      <w:spacing w:after="0" w:line="240" w:lineRule="auto"/>
      <w:jc w:val="right"/>
      <w:rPr>
        <w:rFonts w:ascii="Corbel" w:eastAsia="Calibri" w:hAnsi="Corbel" w:cs="Calibri"/>
        <w:b/>
        <w:i/>
        <w:kern w:val="0"/>
        <w:sz w:val="18"/>
        <w:szCs w:val="18"/>
        <w14:ligatures w14:val="none"/>
      </w:rPr>
    </w:pPr>
    <w:r w:rsidRPr="00854E71">
      <w:rPr>
        <w:rFonts w:ascii="Corbel" w:eastAsia="Calibri" w:hAnsi="Corbel" w:cs="Calibri"/>
        <w:b/>
        <w:i/>
        <w:kern w:val="0"/>
        <w:sz w:val="18"/>
        <w:szCs w:val="18"/>
        <w14:ligatures w14:val="none"/>
      </w:rPr>
      <w:t>Rady Wydziału Biotechnologii</w:t>
    </w:r>
  </w:p>
  <w:p w14:paraId="517A8FB6" w14:textId="7DD6B400" w:rsidR="00ED23F9" w:rsidRPr="00854E71" w:rsidRDefault="00ED23F9" w:rsidP="00ED23F9">
    <w:pPr>
      <w:spacing w:after="0" w:line="240" w:lineRule="auto"/>
      <w:jc w:val="right"/>
      <w:rPr>
        <w:rFonts w:ascii="Corbel" w:eastAsia="Calibri" w:hAnsi="Corbel" w:cs="Calibri"/>
        <w:b/>
        <w:i/>
        <w:caps/>
        <w:kern w:val="0"/>
        <w:sz w:val="18"/>
        <w:szCs w:val="18"/>
        <w14:ligatures w14:val="none"/>
      </w:rPr>
    </w:pPr>
    <w:r w:rsidRPr="00854E71">
      <w:rPr>
        <w:rFonts w:ascii="Corbel" w:eastAsia="Calibri" w:hAnsi="Corbel" w:cs="Calibri"/>
        <w:b/>
        <w:i/>
        <w:kern w:val="0"/>
        <w:sz w:val="18"/>
        <w:szCs w:val="18"/>
        <w14:ligatures w14:val="none"/>
      </w:rPr>
      <w:t xml:space="preserve">Collegium </w:t>
    </w:r>
    <w:proofErr w:type="spellStart"/>
    <w:r w:rsidRPr="00854E71">
      <w:rPr>
        <w:rFonts w:ascii="Corbel" w:eastAsia="Calibri" w:hAnsi="Corbel" w:cs="Calibri"/>
        <w:b/>
        <w:i/>
        <w:kern w:val="0"/>
        <w:sz w:val="18"/>
        <w:szCs w:val="18"/>
        <w14:ligatures w14:val="none"/>
      </w:rPr>
      <w:t>Medicum</w:t>
    </w:r>
    <w:proofErr w:type="spellEnd"/>
    <w:r w:rsidRPr="00854E71">
      <w:rPr>
        <w:rFonts w:ascii="Corbel" w:eastAsia="Calibri" w:hAnsi="Corbel" w:cs="Calibri"/>
        <w:b/>
        <w:i/>
        <w:kern w:val="0"/>
        <w:sz w:val="18"/>
        <w:szCs w:val="18"/>
        <w14:ligatures w14:val="none"/>
      </w:rPr>
      <w:t xml:space="preserve"> </w:t>
    </w:r>
    <w:r w:rsidRPr="00854E71">
      <w:rPr>
        <w:rFonts w:ascii="Corbel" w:eastAsia="Calibri" w:hAnsi="Corbel" w:cs="Calibri"/>
        <w:b/>
        <w:i/>
        <w:kern w:val="0"/>
        <w:sz w:val="18"/>
        <w:szCs w:val="18"/>
        <w14:ligatures w14:val="none"/>
      </w:rPr>
      <w:br/>
      <w:t>Uniwersyte</w:t>
    </w:r>
    <w:r w:rsidR="00722D1B">
      <w:rPr>
        <w:rFonts w:ascii="Corbel" w:eastAsia="Calibri" w:hAnsi="Corbel" w:cs="Calibri"/>
        <w:b/>
        <w:i/>
        <w:kern w:val="0"/>
        <w:sz w:val="18"/>
        <w:szCs w:val="18"/>
        <w14:ligatures w14:val="none"/>
      </w:rPr>
      <w:t xml:space="preserve">tu Rzeszowskiego </w:t>
    </w:r>
    <w:r w:rsidR="00722D1B">
      <w:rPr>
        <w:rFonts w:ascii="Corbel" w:eastAsia="Calibri" w:hAnsi="Corbel" w:cs="Calibri"/>
        <w:b/>
        <w:i/>
        <w:kern w:val="0"/>
        <w:sz w:val="18"/>
        <w:szCs w:val="18"/>
        <w14:ligatures w14:val="none"/>
      </w:rPr>
      <w:br/>
    </w:r>
    <w:proofErr w:type="gramStart"/>
    <w:r w:rsidR="00722D1B">
      <w:rPr>
        <w:rFonts w:ascii="Corbel" w:eastAsia="Calibri" w:hAnsi="Corbel" w:cs="Calibri"/>
        <w:b/>
        <w:i/>
        <w:kern w:val="0"/>
        <w:sz w:val="18"/>
        <w:szCs w:val="18"/>
        <w14:ligatures w14:val="none"/>
      </w:rPr>
      <w:t>z  dnia</w:t>
    </w:r>
    <w:proofErr w:type="gramEnd"/>
    <w:r w:rsidR="00722D1B">
      <w:rPr>
        <w:rFonts w:ascii="Corbel" w:eastAsia="Calibri" w:hAnsi="Corbel" w:cs="Calibri"/>
        <w:b/>
        <w:i/>
        <w:kern w:val="0"/>
        <w:sz w:val="18"/>
        <w:szCs w:val="18"/>
        <w14:ligatures w14:val="none"/>
      </w:rPr>
      <w:t xml:space="preserve"> 10.03.2025 r.</w:t>
    </w:r>
  </w:p>
  <w:p w14:paraId="3EE911BC" w14:textId="0133A0B8" w:rsidR="00ED23F9" w:rsidRDefault="00ED23F9">
    <w:pPr>
      <w:pStyle w:val="Nagwek"/>
    </w:pPr>
  </w:p>
  <w:p w14:paraId="47787ABB" w14:textId="77777777" w:rsidR="00ED23F9" w:rsidRDefault="00ED23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261"/>
    <w:multiLevelType w:val="hybridMultilevel"/>
    <w:tmpl w:val="89DE7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F9"/>
    <w:rsid w:val="000C0809"/>
    <w:rsid w:val="001443FA"/>
    <w:rsid w:val="002F2DCE"/>
    <w:rsid w:val="003C0C73"/>
    <w:rsid w:val="006D5ACB"/>
    <w:rsid w:val="00722D1B"/>
    <w:rsid w:val="0074399A"/>
    <w:rsid w:val="007A4DBD"/>
    <w:rsid w:val="00854E71"/>
    <w:rsid w:val="00942359"/>
    <w:rsid w:val="00B65037"/>
    <w:rsid w:val="00BD5A42"/>
    <w:rsid w:val="00DE378B"/>
    <w:rsid w:val="00DE4312"/>
    <w:rsid w:val="00ED2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64D7"/>
  <w15:chartTrackingRefBased/>
  <w15:docId w15:val="{B8281227-7395-4FCB-BEEB-C8490D4E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2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2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23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23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23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23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23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23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23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23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23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23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23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23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23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23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23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23F9"/>
    <w:rPr>
      <w:rFonts w:eastAsiaTheme="majorEastAsia" w:cstheme="majorBidi"/>
      <w:color w:val="272727" w:themeColor="text1" w:themeTint="D8"/>
    </w:rPr>
  </w:style>
  <w:style w:type="paragraph" w:styleId="Tytu">
    <w:name w:val="Title"/>
    <w:basedOn w:val="Normalny"/>
    <w:next w:val="Normalny"/>
    <w:link w:val="TytuZnak"/>
    <w:uiPriority w:val="10"/>
    <w:qFormat/>
    <w:rsid w:val="00ED2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23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23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23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23F9"/>
    <w:pPr>
      <w:spacing w:before="160"/>
      <w:jc w:val="center"/>
    </w:pPr>
    <w:rPr>
      <w:i/>
      <w:iCs/>
      <w:color w:val="404040" w:themeColor="text1" w:themeTint="BF"/>
    </w:rPr>
  </w:style>
  <w:style w:type="character" w:customStyle="1" w:styleId="CytatZnak">
    <w:name w:val="Cytat Znak"/>
    <w:basedOn w:val="Domylnaczcionkaakapitu"/>
    <w:link w:val="Cytat"/>
    <w:uiPriority w:val="29"/>
    <w:rsid w:val="00ED23F9"/>
    <w:rPr>
      <w:i/>
      <w:iCs/>
      <w:color w:val="404040" w:themeColor="text1" w:themeTint="BF"/>
    </w:rPr>
  </w:style>
  <w:style w:type="paragraph" w:styleId="Akapitzlist">
    <w:name w:val="List Paragraph"/>
    <w:basedOn w:val="Normalny"/>
    <w:uiPriority w:val="34"/>
    <w:qFormat/>
    <w:rsid w:val="00ED23F9"/>
    <w:pPr>
      <w:ind w:left="720"/>
      <w:contextualSpacing/>
    </w:pPr>
  </w:style>
  <w:style w:type="character" w:styleId="Wyrnienieintensywne">
    <w:name w:val="Intense Emphasis"/>
    <w:basedOn w:val="Domylnaczcionkaakapitu"/>
    <w:uiPriority w:val="21"/>
    <w:qFormat/>
    <w:rsid w:val="00ED23F9"/>
    <w:rPr>
      <w:i/>
      <w:iCs/>
      <w:color w:val="0F4761" w:themeColor="accent1" w:themeShade="BF"/>
    </w:rPr>
  </w:style>
  <w:style w:type="paragraph" w:styleId="Cytatintensywny">
    <w:name w:val="Intense Quote"/>
    <w:basedOn w:val="Normalny"/>
    <w:next w:val="Normalny"/>
    <w:link w:val="CytatintensywnyZnak"/>
    <w:uiPriority w:val="30"/>
    <w:qFormat/>
    <w:rsid w:val="00ED2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23F9"/>
    <w:rPr>
      <w:i/>
      <w:iCs/>
      <w:color w:val="0F4761" w:themeColor="accent1" w:themeShade="BF"/>
    </w:rPr>
  </w:style>
  <w:style w:type="character" w:styleId="Odwoanieintensywne">
    <w:name w:val="Intense Reference"/>
    <w:basedOn w:val="Domylnaczcionkaakapitu"/>
    <w:uiPriority w:val="32"/>
    <w:qFormat/>
    <w:rsid w:val="00ED23F9"/>
    <w:rPr>
      <w:b/>
      <w:bCs/>
      <w:smallCaps/>
      <w:color w:val="0F4761" w:themeColor="accent1" w:themeShade="BF"/>
      <w:spacing w:val="5"/>
    </w:rPr>
  </w:style>
  <w:style w:type="paragraph" w:styleId="Nagwek">
    <w:name w:val="header"/>
    <w:basedOn w:val="Normalny"/>
    <w:link w:val="NagwekZnak"/>
    <w:uiPriority w:val="99"/>
    <w:unhideWhenUsed/>
    <w:rsid w:val="00ED23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23F9"/>
  </w:style>
  <w:style w:type="paragraph" w:styleId="Stopka">
    <w:name w:val="footer"/>
    <w:basedOn w:val="Normalny"/>
    <w:link w:val="StopkaZnak"/>
    <w:uiPriority w:val="99"/>
    <w:unhideWhenUsed/>
    <w:rsid w:val="00ED23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2478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Słowik-Borowiec</dc:creator>
  <cp:keywords/>
  <dc:description/>
  <cp:lastModifiedBy>Bartek</cp:lastModifiedBy>
  <cp:revision>2</cp:revision>
  <dcterms:created xsi:type="dcterms:W3CDTF">2025-03-26T09:22:00Z</dcterms:created>
  <dcterms:modified xsi:type="dcterms:W3CDTF">2025-03-26T09:22:00Z</dcterms:modified>
</cp:coreProperties>
</file>