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77777777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r w:rsidRPr="00B169DF">
        <w:rPr>
          <w:rFonts w:ascii="Corbel" w:hAnsi="Corbel"/>
          <w:bCs/>
          <w:i/>
        </w:rPr>
        <w:t>Załącznik nr 1.5 do Zarządzenia Rektora UR  nr 7/2023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3E4D2E0F" w14:textId="77777777" w:rsidR="009623EE" w:rsidRDefault="009623EE" w:rsidP="009623EE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 : 2023/2024-2024/2025</w:t>
      </w:r>
    </w:p>
    <w:p w14:paraId="7DBB3882" w14:textId="6BE32BC6" w:rsidR="0085747A" w:rsidRPr="00540BB1" w:rsidRDefault="00DF3720" w:rsidP="00437FB7">
      <w:pPr>
        <w:spacing w:line="240" w:lineRule="exact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0"/>
          <w:szCs w:val="20"/>
        </w:rPr>
        <w:tab/>
      </w: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2BC5346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I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proofErr w:type="spellStart"/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  <w:proofErr w:type="spellEnd"/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716EF457" w:rsidR="004C003C" w:rsidRPr="00540BB1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I/semestr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drugi </w:t>
            </w:r>
            <w:r w:rsidR="009623EE">
              <w:rPr>
                <w:rFonts w:ascii="Corbel" w:hAnsi="Corbel"/>
                <w:b w:val="0"/>
                <w:color w:val="auto"/>
                <w:sz w:val="24"/>
                <w:szCs w:val="24"/>
              </w:rPr>
              <w:t>lub roku II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trze</w:t>
            </w:r>
            <w:bookmarkStart w:id="0" w:name="_GoBack"/>
            <w:bookmarkEnd w:id="0"/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ci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0981D312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="0014603E">
              <w:rPr>
                <w:rFonts w:ascii="Corbel" w:hAnsi="Corbel"/>
                <w:b w:val="0"/>
                <w:color w:val="auto"/>
                <w:sz w:val="24"/>
                <w:szCs w:val="24"/>
              </w:rPr>
              <w:t>Z</w:t>
            </w:r>
            <w:r w:rsidR="007A64C6">
              <w:rPr>
                <w:rFonts w:ascii="Corbel" w:hAnsi="Corbel"/>
                <w:b w:val="0"/>
                <w:color w:val="auto"/>
                <w:sz w:val="24"/>
                <w:szCs w:val="24"/>
              </w:rPr>
              <w:t>arządzanie instytucjami kultury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40BB1">
              <w:rPr>
                <w:rFonts w:ascii="Corbel" w:hAnsi="Corbel"/>
                <w:szCs w:val="24"/>
              </w:rPr>
              <w:t>Wykł</w:t>
            </w:r>
            <w:proofErr w:type="spellEnd"/>
            <w:r w:rsidRPr="00540BB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40BB1">
              <w:rPr>
                <w:rFonts w:ascii="Corbel" w:hAnsi="Corbel"/>
                <w:szCs w:val="24"/>
              </w:rPr>
              <w:t>Konw</w:t>
            </w:r>
            <w:proofErr w:type="spellEnd"/>
            <w:r w:rsidRPr="00540BB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40BB1">
              <w:rPr>
                <w:rFonts w:ascii="Corbel" w:hAnsi="Corbel"/>
                <w:szCs w:val="24"/>
              </w:rPr>
              <w:t>Sem</w:t>
            </w:r>
            <w:proofErr w:type="spellEnd"/>
            <w:r w:rsidRPr="00540BB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40BB1">
              <w:rPr>
                <w:rFonts w:ascii="Corbel" w:hAnsi="Corbel"/>
                <w:szCs w:val="24"/>
              </w:rPr>
              <w:t>Prakt</w:t>
            </w:r>
            <w:proofErr w:type="spellEnd"/>
            <w:r w:rsidRPr="00540BB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3FC4F000" w:rsidR="00015B8F" w:rsidRPr="00540BB1" w:rsidRDefault="007B6AE2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drugiego do końca trzeciego semestru studiów, zaliczenie w semestrze czwartym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28293CD7" w:rsidR="00015B8F" w:rsidRPr="00540BB1" w:rsidRDefault="00327AD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lastRenderedPageBreak/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31B5601C" w:rsidR="0085747A" w:rsidRPr="00540BB1" w:rsidRDefault="004934C9" w:rsidP="004E40B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Wiedza zdobyta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>we wcześniejszych etapach edukacji, w tym na przedmio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tach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specjalnościowy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ch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w pierwszym semestrze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: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 xml:space="preserve">Zarządzanie instytucjami kultury i turystyki, Źródła finansowania w instytucjach kultury i turystyki, Strategie w instytucjach kultury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>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46B4F486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>dotyczących instytucji kultury</w:t>
            </w:r>
            <w:r w:rsidR="00F746A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 zarządzania nimi</w:t>
            </w:r>
            <w:r w:rsidR="001A597E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w zależności od specyfiki wybranej placówki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7F3B7424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 w:rsidR="00370D4F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związanych z </w:t>
            </w:r>
            <w:r w:rsidR="00F746A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zarządzaniem instytucją, jej współpracą </w:t>
            </w:r>
            <w:r w:rsidR="00370D4F">
              <w:rPr>
                <w:rFonts w:ascii="Corbel" w:hAnsi="Corbel"/>
                <w:b w:val="0"/>
                <w:bCs/>
                <w:sz w:val="24"/>
                <w:szCs w:val="24"/>
              </w:rPr>
              <w:t>z innymi podmiotami działającymi w przestrzeni publicznej</w:t>
            </w:r>
            <w:r w:rsidR="00F746A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(nadrzędnymi i równorzędnymi) i pozyskiwaniem środków finansowych ze źródeł zewnętrznych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342AAF3A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EC61D8">
              <w:rPr>
                <w:rFonts w:ascii="Corbel" w:hAnsi="Corbel"/>
                <w:sz w:val="24"/>
                <w:szCs w:val="24"/>
              </w:rPr>
              <w:t xml:space="preserve">gruntownie </w:t>
            </w:r>
            <w:r>
              <w:rPr>
                <w:rFonts w:ascii="Corbel" w:hAnsi="Corbel"/>
                <w:sz w:val="24"/>
                <w:szCs w:val="24"/>
              </w:rPr>
              <w:t xml:space="preserve">zna </w:t>
            </w:r>
            <w:r w:rsidR="001A597E">
              <w:rPr>
                <w:rFonts w:ascii="Corbel" w:hAnsi="Corbel"/>
                <w:sz w:val="24"/>
                <w:szCs w:val="24"/>
              </w:rPr>
              <w:t xml:space="preserve">różnorodne uwarunkowania funkcjonowania instytucji, w której odbywa praktykę: jej strukturę organizacyjną, </w:t>
            </w:r>
            <w:r>
              <w:rPr>
                <w:rFonts w:ascii="Corbel" w:hAnsi="Corbel"/>
                <w:sz w:val="24"/>
                <w:szCs w:val="24"/>
              </w:rPr>
              <w:t>akty prawne regulujące jej działalność, formy współpracy ze środowiskiem</w:t>
            </w:r>
            <w:r w:rsidR="001A597E">
              <w:rPr>
                <w:rFonts w:ascii="Corbel" w:hAnsi="Corbel"/>
                <w:sz w:val="24"/>
                <w:szCs w:val="24"/>
              </w:rPr>
              <w:t>, metody promowania jej działań</w:t>
            </w:r>
            <w:r w:rsidR="007A64C6">
              <w:rPr>
                <w:rFonts w:ascii="Corbel" w:hAnsi="Corbel"/>
                <w:sz w:val="24"/>
                <w:szCs w:val="24"/>
              </w:rPr>
              <w:t xml:space="preserve"> oraz jednostki nadrzędne wobec niej i jej miejsce w hierarchii zależności/współzależności w przestrzeni społecznej</w:t>
            </w:r>
          </w:p>
        </w:tc>
        <w:tc>
          <w:tcPr>
            <w:tcW w:w="1865" w:type="dxa"/>
          </w:tcPr>
          <w:p w14:paraId="71B7425D" w14:textId="0754C082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41F3F53B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biegle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zasady planowania, przygotowywania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przeprowadzania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 i promowania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1A597E">
              <w:rPr>
                <w:rFonts w:ascii="Corbel" w:hAnsi="Corbel"/>
                <w:b w:val="0"/>
                <w:smallCaps w:val="0"/>
                <w:szCs w:val="24"/>
              </w:rPr>
              <w:t>różnorodnych działań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 związanych z realizacją zadań instytucji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  -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z poszanowaniem prawa autorskiego </w:t>
            </w:r>
            <w:r w:rsidR="008A32A0">
              <w:rPr>
                <w:rFonts w:ascii="Corbel" w:hAnsi="Corbel"/>
                <w:b w:val="0"/>
                <w:smallCaps w:val="0"/>
              </w:rPr>
              <w:t>i etyki zawodowej</w:t>
            </w:r>
            <w:r w:rsidR="000211AC">
              <w:rPr>
                <w:rFonts w:ascii="Corbel" w:hAnsi="Corbel"/>
                <w:b w:val="0"/>
                <w:smallCaps w:val="0"/>
              </w:rPr>
              <w:t xml:space="preserve"> </w:t>
            </w:r>
            <w:r w:rsidR="00692F3F">
              <w:rPr>
                <w:rFonts w:ascii="Corbel" w:hAnsi="Corbel"/>
                <w:b w:val="0"/>
                <w:smallCaps w:val="0"/>
                <w:szCs w:val="24"/>
              </w:rPr>
              <w:t>– w tym szczególnie procesy pozyskiwania zewnętrznych źródeł finansowania na działalność kulturalną instytucji, w której odbywa praktykę</w:t>
            </w:r>
          </w:p>
        </w:tc>
        <w:tc>
          <w:tcPr>
            <w:tcW w:w="1865" w:type="dxa"/>
          </w:tcPr>
          <w:p w14:paraId="36467E2E" w14:textId="4EA9D010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20C2C74F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Samodzielnie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potrafi taki</w:t>
            </w:r>
            <w:r w:rsidR="00692F3F">
              <w:rPr>
                <w:rFonts w:ascii="Corbel" w:hAnsi="Corbel"/>
                <w:b w:val="0"/>
                <w:smallCaps w:val="0"/>
                <w:szCs w:val="24"/>
              </w:rPr>
              <w:t xml:space="preserve"> projekt pozyskiwania środków finansowych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692F3F">
              <w:rPr>
                <w:rFonts w:ascii="Corbel" w:hAnsi="Corbel"/>
                <w:b w:val="0"/>
                <w:smallCaps w:val="0"/>
                <w:szCs w:val="24"/>
              </w:rPr>
              <w:t>przygotować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działając indywidualnie lub jako członek zespołu</w:t>
            </w:r>
          </w:p>
        </w:tc>
        <w:tc>
          <w:tcPr>
            <w:tcW w:w="1865" w:type="dxa"/>
          </w:tcPr>
          <w:p w14:paraId="40B78F02" w14:textId="07832D99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Jest gotów do krytycznej oceny i weryfikacji posiadanej wiedzy i zasięgania opinii opiekuna praktyki oraz innych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1FE5A6C9" w:rsidR="002D1800" w:rsidRPr="00540BB1" w:rsidRDefault="00447B12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Pogłębione</w:t>
            </w:r>
            <w:r w:rsidR="00696F37">
              <w:rPr>
                <w:rFonts w:ascii="Corbel" w:hAnsi="Corbel"/>
                <w:sz w:val="24"/>
                <w:szCs w:val="24"/>
              </w:rPr>
              <w:t xml:space="preserve"> informacje o instytucji, w której student odbywa praktykę - struktura organizacyjna, akty prawne (statut, regulamin BHP), współpraca ze środowiskiem</w:t>
            </w:r>
            <w:r>
              <w:rPr>
                <w:rFonts w:ascii="Corbel" w:hAnsi="Corbel"/>
                <w:sz w:val="24"/>
                <w:szCs w:val="24"/>
              </w:rPr>
              <w:t>, metody promowania działań (strona internetowa, media społecznościowe)</w:t>
            </w:r>
            <w:r w:rsidR="00692F3F">
              <w:rPr>
                <w:rFonts w:ascii="Corbel" w:hAnsi="Corbel"/>
                <w:sz w:val="24"/>
                <w:szCs w:val="24"/>
              </w:rPr>
              <w:t>; organy, którym instytucja podlega oraz z którymi współpracuje na równorzędnych zasadach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61894E44" w:rsidR="00841CDF" w:rsidRPr="00540BB1" w:rsidRDefault="00447B12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Działania podejmowane przez </w:t>
            </w:r>
            <w:r w:rsidR="00716D65">
              <w:rPr>
                <w:rFonts w:ascii="Corbel" w:hAnsi="Corbel"/>
                <w:sz w:val="24"/>
                <w:szCs w:val="24"/>
              </w:rPr>
              <w:t xml:space="preserve">kierownictwo </w:t>
            </w:r>
            <w:r>
              <w:rPr>
                <w:rFonts w:ascii="Corbel" w:hAnsi="Corbel"/>
                <w:sz w:val="24"/>
                <w:szCs w:val="24"/>
              </w:rPr>
              <w:t>instytucj</w:t>
            </w:r>
            <w:r w:rsidR="00716D65">
              <w:rPr>
                <w:rFonts w:ascii="Corbel" w:hAnsi="Corbel"/>
                <w:sz w:val="24"/>
                <w:szCs w:val="24"/>
              </w:rPr>
              <w:t>i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A90717">
              <w:rPr>
                <w:rFonts w:ascii="Corbel" w:hAnsi="Corbel"/>
                <w:sz w:val="24"/>
                <w:szCs w:val="24"/>
              </w:rPr>
              <w:t>– w cyklu rocznym i epizodycznie, sposób ich planowania, przygotowywania i przeprowadzania</w:t>
            </w:r>
            <w:r w:rsidR="00D97AC3">
              <w:rPr>
                <w:rFonts w:ascii="Corbel" w:hAnsi="Corbel"/>
                <w:sz w:val="24"/>
                <w:szCs w:val="24"/>
              </w:rPr>
              <w:t>; trudności i wyzwania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1CDF" w:rsidRPr="00540BB1" w14:paraId="051FC71C" w14:textId="77777777" w:rsidTr="00AD5E16">
        <w:tc>
          <w:tcPr>
            <w:tcW w:w="7225" w:type="dxa"/>
          </w:tcPr>
          <w:p w14:paraId="526E0BC9" w14:textId="38837838" w:rsidR="00841CDF" w:rsidRDefault="00841CDF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Współpraca z</w:t>
            </w:r>
            <w:r w:rsidR="00F746A7">
              <w:rPr>
                <w:rFonts w:ascii="Corbel" w:hAnsi="Corbel"/>
                <w:sz w:val="24"/>
                <w:szCs w:val="24"/>
              </w:rPr>
              <w:t xml:space="preserve"> jednostkami nadrzędnymi</w:t>
            </w:r>
            <w:r w:rsidR="00487B30">
              <w:rPr>
                <w:rFonts w:ascii="Corbel" w:hAnsi="Corbel"/>
                <w:sz w:val="24"/>
                <w:szCs w:val="24"/>
              </w:rPr>
              <w:t>/podrzędnymi oraz</w:t>
            </w:r>
            <w:r w:rsidR="00F746A7">
              <w:rPr>
                <w:rFonts w:ascii="Corbel" w:hAnsi="Corbel"/>
                <w:sz w:val="24"/>
                <w:szCs w:val="24"/>
              </w:rPr>
              <w:t xml:space="preserve"> środowiskiem społecznym</w:t>
            </w:r>
            <w:r w:rsidR="00487B30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2C6F131" w14:textId="77777777" w:rsidR="00841CDF" w:rsidRPr="00540BB1" w:rsidRDefault="00841CDF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506A492F" w:rsidR="002D1800" w:rsidRPr="00540BB1" w:rsidRDefault="00692F3F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Możliwości pozyskiwania środków na działalność kulturalną instytucji ze źródeł zewnętrznych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A3F535" w14:textId="77777777" w:rsidTr="00AD5E16">
        <w:tc>
          <w:tcPr>
            <w:tcW w:w="7225" w:type="dxa"/>
          </w:tcPr>
          <w:p w14:paraId="3B12CC0B" w14:textId="26B6370B" w:rsidR="002D1800" w:rsidRPr="00692F3F" w:rsidRDefault="00716D65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  <w:highlight w:val="yellow"/>
              </w:rPr>
            </w:pPr>
            <w:r w:rsidRPr="00716D65">
              <w:rPr>
                <w:rFonts w:ascii="Corbel" w:hAnsi="Corbel"/>
                <w:sz w:val="24"/>
                <w:szCs w:val="24"/>
              </w:rPr>
              <w:t>Aktywny</w:t>
            </w:r>
            <w:r w:rsidR="003F4E20" w:rsidRPr="00716D65">
              <w:rPr>
                <w:rFonts w:ascii="Corbel" w:hAnsi="Corbel"/>
                <w:sz w:val="24"/>
                <w:szCs w:val="24"/>
              </w:rPr>
              <w:t xml:space="preserve"> udział w </w:t>
            </w:r>
            <w:r w:rsidR="00A263F6" w:rsidRPr="00716D65">
              <w:rPr>
                <w:rFonts w:ascii="Corbel" w:hAnsi="Corbel"/>
                <w:sz w:val="24"/>
                <w:szCs w:val="24"/>
              </w:rPr>
              <w:t>p</w:t>
            </w:r>
            <w:r w:rsidRPr="00716D65">
              <w:rPr>
                <w:rFonts w:ascii="Corbel" w:hAnsi="Corbel"/>
                <w:sz w:val="24"/>
                <w:szCs w:val="24"/>
              </w:rPr>
              <w:t>racach zespołu zajmującego się pozyskiwaniem dofinansowania ze źródeł zewnętrznych</w:t>
            </w:r>
            <w:r w:rsidR="00C95B39">
              <w:rPr>
                <w:rFonts w:ascii="Corbel" w:hAnsi="Corbel"/>
                <w:sz w:val="24"/>
                <w:szCs w:val="24"/>
              </w:rPr>
              <w:t>, w tym samodzielne przygotowanie projektu lub jego części</w:t>
            </w:r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B2A87AE" w14:textId="532E7FF9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540BB1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540BB1">
              <w:rPr>
                <w:rFonts w:ascii="Corbel" w:hAnsi="Corbel"/>
                <w:b w:val="0"/>
                <w:szCs w:val="24"/>
              </w:rPr>
              <w:t xml:space="preserve">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556DE213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29B35B10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540BB1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</w:t>
            </w:r>
            <w:r w:rsidR="003F4E20">
              <w:rPr>
                <w:rFonts w:ascii="Corbel" w:hAnsi="Corbel"/>
                <w:sz w:val="24"/>
                <w:szCs w:val="24"/>
              </w:rPr>
              <w:t xml:space="preserve">samodzielne 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przygotowanie </w:t>
            </w:r>
            <w:r w:rsidR="004C5450">
              <w:rPr>
                <w:rFonts w:ascii="Corbel" w:hAnsi="Corbel"/>
                <w:sz w:val="24"/>
                <w:szCs w:val="24"/>
              </w:rPr>
              <w:t xml:space="preserve">koncepcji i szczegółów </w:t>
            </w:r>
            <w:r w:rsidRPr="00540BB1">
              <w:rPr>
                <w:rFonts w:ascii="Corbel" w:hAnsi="Corbel"/>
                <w:sz w:val="24"/>
                <w:szCs w:val="24"/>
              </w:rPr>
              <w:t>zajęć</w:t>
            </w:r>
            <w:r w:rsidR="003F4E20">
              <w:rPr>
                <w:rFonts w:ascii="Corbel" w:hAnsi="Corbel"/>
                <w:sz w:val="24"/>
                <w:szCs w:val="24"/>
              </w:rPr>
              <w:t>/warsztatów będących w ofercie instytucji kultury oraz kampanii informacyjno-promocyjnej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3BF6A74B" w14:textId="5FE1BFEC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545BED72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3F4E20">
              <w:rPr>
                <w:rFonts w:ascii="Corbel" w:hAnsi="Corbel"/>
                <w:sz w:val="24"/>
                <w:szCs w:val="24"/>
              </w:rPr>
              <w:t>25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0C1DC577" w:rsidR="0085747A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D760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9A63" w14:textId="77777777" w:rsidR="00B33D42" w:rsidRDefault="00B33D42" w:rsidP="00C16ABF">
      <w:pPr>
        <w:spacing w:after="0" w:line="240" w:lineRule="auto"/>
      </w:pPr>
      <w:r>
        <w:separator/>
      </w:r>
    </w:p>
  </w:endnote>
  <w:endnote w:type="continuationSeparator" w:id="0">
    <w:p w14:paraId="0C11B545" w14:textId="77777777" w:rsidR="00B33D42" w:rsidRDefault="00B33D42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78B1" w14:textId="77777777" w:rsidR="00B33D42" w:rsidRDefault="00B33D42" w:rsidP="00C16ABF">
      <w:pPr>
        <w:spacing w:after="0" w:line="240" w:lineRule="auto"/>
      </w:pPr>
      <w:r>
        <w:separator/>
      </w:r>
    </w:p>
  </w:footnote>
  <w:footnote w:type="continuationSeparator" w:id="0">
    <w:p w14:paraId="20EE8ADF" w14:textId="77777777" w:rsidR="00B33D42" w:rsidRDefault="00B33D42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15CB9"/>
    <w:rsid w:val="000211AC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C78F5"/>
    <w:rsid w:val="000D04B0"/>
    <w:rsid w:val="000E307F"/>
    <w:rsid w:val="000F1C57"/>
    <w:rsid w:val="000F5615"/>
    <w:rsid w:val="00124BFF"/>
    <w:rsid w:val="0012560E"/>
    <w:rsid w:val="00127108"/>
    <w:rsid w:val="00134B13"/>
    <w:rsid w:val="0014603E"/>
    <w:rsid w:val="00146BC0"/>
    <w:rsid w:val="00153C41"/>
    <w:rsid w:val="00154381"/>
    <w:rsid w:val="001640A7"/>
    <w:rsid w:val="00164FA7"/>
    <w:rsid w:val="00166A03"/>
    <w:rsid w:val="0016743E"/>
    <w:rsid w:val="001718A7"/>
    <w:rsid w:val="001737CF"/>
    <w:rsid w:val="001754B2"/>
    <w:rsid w:val="00176083"/>
    <w:rsid w:val="001770C7"/>
    <w:rsid w:val="00187F8D"/>
    <w:rsid w:val="00190387"/>
    <w:rsid w:val="00192F37"/>
    <w:rsid w:val="001A597E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3E92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51C5"/>
    <w:rsid w:val="0031708E"/>
    <w:rsid w:val="00323412"/>
    <w:rsid w:val="00327AD0"/>
    <w:rsid w:val="003343CF"/>
    <w:rsid w:val="00346FE9"/>
    <w:rsid w:val="0034759A"/>
    <w:rsid w:val="003503F6"/>
    <w:rsid w:val="003530DD"/>
    <w:rsid w:val="0035342B"/>
    <w:rsid w:val="00363F78"/>
    <w:rsid w:val="00370D4F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3F4E20"/>
    <w:rsid w:val="00414E3C"/>
    <w:rsid w:val="0042244A"/>
    <w:rsid w:val="0042745A"/>
    <w:rsid w:val="00431D5C"/>
    <w:rsid w:val="004362C6"/>
    <w:rsid w:val="00437FA2"/>
    <w:rsid w:val="00437FB7"/>
    <w:rsid w:val="00445970"/>
    <w:rsid w:val="00447B12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B30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C5450"/>
    <w:rsid w:val="004D5282"/>
    <w:rsid w:val="004E40B6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6696D"/>
    <w:rsid w:val="00572467"/>
    <w:rsid w:val="005775A2"/>
    <w:rsid w:val="0059484D"/>
    <w:rsid w:val="005A0855"/>
    <w:rsid w:val="005A2442"/>
    <w:rsid w:val="005A3196"/>
    <w:rsid w:val="005B455F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25CC"/>
    <w:rsid w:val="00635CD5"/>
    <w:rsid w:val="00647FA8"/>
    <w:rsid w:val="00650C5F"/>
    <w:rsid w:val="00654934"/>
    <w:rsid w:val="006620D9"/>
    <w:rsid w:val="00671764"/>
    <w:rsid w:val="00671958"/>
    <w:rsid w:val="00675843"/>
    <w:rsid w:val="00692F3F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16D65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4C6"/>
    <w:rsid w:val="007A6E6E"/>
    <w:rsid w:val="007B6AE2"/>
    <w:rsid w:val="007C320C"/>
    <w:rsid w:val="007C3299"/>
    <w:rsid w:val="007C3BCC"/>
    <w:rsid w:val="007C4546"/>
    <w:rsid w:val="007D10BF"/>
    <w:rsid w:val="007D5B9B"/>
    <w:rsid w:val="007D677A"/>
    <w:rsid w:val="007D6CB4"/>
    <w:rsid w:val="007D6E56"/>
    <w:rsid w:val="007E16E9"/>
    <w:rsid w:val="007F1652"/>
    <w:rsid w:val="007F4155"/>
    <w:rsid w:val="008101C5"/>
    <w:rsid w:val="008118D3"/>
    <w:rsid w:val="0081554D"/>
    <w:rsid w:val="0081707E"/>
    <w:rsid w:val="00827BB2"/>
    <w:rsid w:val="00841CDF"/>
    <w:rsid w:val="008449B3"/>
    <w:rsid w:val="00852F46"/>
    <w:rsid w:val="0085747A"/>
    <w:rsid w:val="008810FB"/>
    <w:rsid w:val="00884922"/>
    <w:rsid w:val="00885F64"/>
    <w:rsid w:val="008917F9"/>
    <w:rsid w:val="008A32A0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623EE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469"/>
    <w:rsid w:val="009E3B41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4F10"/>
    <w:rsid w:val="00A82615"/>
    <w:rsid w:val="00A84C85"/>
    <w:rsid w:val="00A84EDD"/>
    <w:rsid w:val="00A90717"/>
    <w:rsid w:val="00A97DE1"/>
    <w:rsid w:val="00AB053C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33D42"/>
    <w:rsid w:val="00B40ADB"/>
    <w:rsid w:val="00B43B77"/>
    <w:rsid w:val="00B43E80"/>
    <w:rsid w:val="00B577A1"/>
    <w:rsid w:val="00B607DB"/>
    <w:rsid w:val="00B66529"/>
    <w:rsid w:val="00B66D23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95B39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05DDD"/>
    <w:rsid w:val="00D104B5"/>
    <w:rsid w:val="00D17C3C"/>
    <w:rsid w:val="00D26B2C"/>
    <w:rsid w:val="00D35023"/>
    <w:rsid w:val="00D352C9"/>
    <w:rsid w:val="00D416F6"/>
    <w:rsid w:val="00D425B2"/>
    <w:rsid w:val="00D428D6"/>
    <w:rsid w:val="00D552B2"/>
    <w:rsid w:val="00D608D1"/>
    <w:rsid w:val="00D62CF4"/>
    <w:rsid w:val="00D70C1E"/>
    <w:rsid w:val="00D74119"/>
    <w:rsid w:val="00D76088"/>
    <w:rsid w:val="00D8075B"/>
    <w:rsid w:val="00D8678B"/>
    <w:rsid w:val="00D97AC3"/>
    <w:rsid w:val="00DA2114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7E88"/>
    <w:rsid w:val="00E8107D"/>
    <w:rsid w:val="00E9192C"/>
    <w:rsid w:val="00E960BB"/>
    <w:rsid w:val="00EA2074"/>
    <w:rsid w:val="00EA4832"/>
    <w:rsid w:val="00EA4E9D"/>
    <w:rsid w:val="00EC1AC5"/>
    <w:rsid w:val="00EC4899"/>
    <w:rsid w:val="00EC61D8"/>
    <w:rsid w:val="00ED03AB"/>
    <w:rsid w:val="00ED32D2"/>
    <w:rsid w:val="00EE20CA"/>
    <w:rsid w:val="00EE32DE"/>
    <w:rsid w:val="00EE5457"/>
    <w:rsid w:val="00EF5D9C"/>
    <w:rsid w:val="00F070AB"/>
    <w:rsid w:val="00F17567"/>
    <w:rsid w:val="00F27A7B"/>
    <w:rsid w:val="00F526AF"/>
    <w:rsid w:val="00F617C3"/>
    <w:rsid w:val="00F7066B"/>
    <w:rsid w:val="00F746A7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2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20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4758-FF12-41C2-8A83-BAAE200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390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82</cp:revision>
  <cp:lastPrinted>2023-02-27T07:29:00Z</cp:lastPrinted>
  <dcterms:created xsi:type="dcterms:W3CDTF">2019-09-24T12:20:00Z</dcterms:created>
  <dcterms:modified xsi:type="dcterms:W3CDTF">2024-02-24T21:37:00Z</dcterms:modified>
</cp:coreProperties>
</file>