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</w:t>
      </w:r>
      <w:r w:rsidR="00E03DC5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</w:t>
      </w:r>
      <w:r w:rsidR="00F200B8">
        <w:rPr>
          <w:rFonts w:ascii="Corbel" w:hAnsi="Corbel" w:cs="Tahoma"/>
          <w:b/>
          <w:bCs/>
          <w:smallCaps/>
          <w:color w:val="auto"/>
          <w:szCs w:val="24"/>
          <w:lang w:val="en-GB"/>
        </w:rPr>
        <w:t>he qualification cycle FROM 202</w:t>
      </w:r>
      <w:r w:rsidR="00846295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F200B8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846295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F200B8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General Microbiology</w:t>
            </w:r>
          </w:p>
        </w:tc>
      </w:tr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84629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E03DC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College of natural Sciences, Institute of Biotechnology</w:t>
            </w:r>
          </w:p>
        </w:tc>
      </w:tr>
      <w:tr w:rsidR="00AA1FCD" w:rsidRPr="0084629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E03DC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Institute of Biotechnology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E03DC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Biology</w:t>
            </w:r>
            <w:r w:rsidR="002D19E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 Biotechnology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F200B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</w:t>
            </w:r>
            <w:r w:rsidR="00E03DC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grade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E03DC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general academic strand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E03DC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AA1FCD" w:rsidRPr="0084629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E03DC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9B76D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Justyna </w:t>
            </w: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Ruchala</w:t>
            </w:r>
            <w:proofErr w:type="spellEnd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 PhD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9B76D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Justyna </w:t>
            </w:r>
            <w:proofErr w:type="spellStart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Ruchala</w:t>
            </w:r>
            <w:proofErr w:type="spellEnd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, PhD</w:t>
            </w:r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F200B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Winter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1F026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  <w:r w:rsidR="002D19E6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19E6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4F2031" w:rsidRDefault="008E13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8E1386">
        <w:rPr>
          <w:rFonts w:ascii="Segoe UI Symbol" w:hAnsi="Segoe UI Symbol" w:cs="Segoe UI Symbol"/>
          <w:b w:val="0"/>
          <w:smallCaps w:val="0"/>
          <w:color w:val="auto"/>
          <w:szCs w:val="24"/>
          <w:lang w:val="en-US"/>
        </w:rPr>
        <w:t>☒</w:t>
      </w:r>
      <w:r>
        <w:rPr>
          <w:rFonts w:ascii="Segoe UI Symbol" w:hAnsi="Segoe UI Symbol" w:cs="Segoe UI Symbol"/>
          <w:b w:val="0"/>
          <w:smallCaps w:val="0"/>
          <w:color w:val="auto"/>
          <w:szCs w:val="24"/>
          <w:lang w:val="en-US"/>
        </w:rPr>
        <w:t xml:space="preserve">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conducted in a traditional way</w:t>
      </w:r>
      <w:bookmarkStart w:id="0" w:name="_GoBack"/>
      <w:bookmarkEnd w:id="0"/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8E1386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 w:rsidRPr="008E1386">
        <w:rPr>
          <w:rFonts w:ascii="Corbel" w:hAnsi="Corbel" w:cs="Tahoma"/>
          <w:b w:val="0"/>
          <w:color w:val="auto"/>
          <w:szCs w:val="24"/>
          <w:lang w:val="en-GB"/>
        </w:rPr>
        <w:t>credit with grade, exam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846295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8E1386" w:rsidP="00F200B8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</w:t>
            </w:r>
            <w:r w:rsidRPr="008E138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nowledge in the fields of </w:t>
            </w:r>
            <w:r w:rsidR="00F200B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organic biochemistry,, </w:t>
            </w:r>
            <w:r w:rsidRPr="008E138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biochemistry, and cell biology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9066"/>
      </w:tblGrid>
      <w:tr w:rsidR="00AA1FCD" w:rsidRPr="00846295" w:rsidTr="008E138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E1386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8E1386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8E138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8E1386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Expanding theoretical knowledge</w:t>
            </w:r>
            <w:r w:rsidR="00F200B8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 of</w:t>
            </w:r>
            <w:r w:rsidRPr="008E1386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 </w:t>
            </w:r>
            <w:r w:rsidR="00F200B8" w:rsidRPr="00F200B8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the structure of the microbial cell, physiology, biochemistry </w:t>
            </w:r>
            <w:r w:rsidR="00F200B8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and genetics of microorganisms and </w:t>
            </w:r>
            <w:r w:rsidR="00F200B8" w:rsidRPr="00F200B8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impact of microorganisms; types, methods and directions of microbial biotechnology; microorganisms as members of the physiology and agents of pathogenesis of plants, animals and humans</w:t>
            </w:r>
          </w:p>
        </w:tc>
      </w:tr>
      <w:tr w:rsidR="00AA1FCD" w:rsidRPr="00846295" w:rsidTr="008E138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E1386" w:rsidRDefault="008E1386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8E1386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9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E1386" w:rsidRDefault="00F200B8" w:rsidP="00F200B8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F200B8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Ability to use techniques, methods and tools to conduct basic biotechnological processes.</w:t>
            </w:r>
          </w:p>
        </w:tc>
      </w:tr>
      <w:tr w:rsidR="00AA1FCD" w:rsidRPr="00846295" w:rsidTr="008E138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E1386" w:rsidRDefault="008E138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8E1386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E1386" w:rsidRDefault="00F200B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F200B8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Prepare students to use microscopic techniques necessary to work in a microbiology laboratory.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9"/>
        <w:gridCol w:w="2552"/>
      </w:tblGrid>
      <w:tr w:rsidR="00AA1FCD" w:rsidRPr="00846295" w:rsidTr="002D19E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743A8" w:rsidTr="002D19E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F200B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200B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knows the most important groups of microorganisms and their structure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C010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O_K_04</w:t>
            </w:r>
          </w:p>
        </w:tc>
      </w:tr>
      <w:tr w:rsidR="00AA1FCD" w:rsidRPr="006C010D" w:rsidTr="002D19E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F200B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200B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knows the principles of microbial metabolism and energy transformations and the possibilities of their practical use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C010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O_K_01</w:t>
            </w:r>
          </w:p>
        </w:tc>
      </w:tr>
      <w:tr w:rsidR="00AA1FCD" w:rsidRPr="006C010D" w:rsidTr="002D19E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8E1386" w:rsidP="008E138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5E4B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5E4B0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understands the risks associated wi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 working with </w:t>
            </w:r>
            <w:r w:rsidRPr="005E4B0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microorganisms and adheres to the principles of safe work with biological material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C010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O_K_01</w:t>
            </w:r>
          </w:p>
        </w:tc>
      </w:tr>
      <w:tr w:rsidR="00AA1FCD" w:rsidRPr="006C010D" w:rsidTr="002D19E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8E138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5E4B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5E4B0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is able to use the equipment in compliance with the principles of occupational health and safety and good laboratory practice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C010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O_K_05</w:t>
            </w:r>
          </w:p>
        </w:tc>
      </w:tr>
      <w:tr w:rsidR="008E1386" w:rsidRPr="006C010D" w:rsidTr="002D19E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1386" w:rsidRPr="004F2031" w:rsidRDefault="008E1386" w:rsidP="002D19E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2D19E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1386" w:rsidRPr="004F2031" w:rsidRDefault="005E4B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5E4B0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uses biochemical, microbiological and molecular techniques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1386" w:rsidRPr="004F2031" w:rsidRDefault="006C010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O_S_02</w:t>
            </w:r>
          </w:p>
        </w:tc>
      </w:tr>
      <w:tr w:rsidR="008E1386" w:rsidRPr="006C010D" w:rsidTr="002D19E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1386" w:rsidRPr="004F2031" w:rsidRDefault="008E1386" w:rsidP="009907D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9907D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1386" w:rsidRPr="004F2031" w:rsidRDefault="005E4B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5E4B0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prepares microscopic preparations using various staining techniques, is able to inoculate microorganisms, cultivate, isolate pure cultures, examine the properties of microorganisms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1386" w:rsidRPr="004F2031" w:rsidRDefault="006C010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O_S_11</w:t>
            </w:r>
          </w:p>
        </w:tc>
      </w:tr>
      <w:tr w:rsidR="005E4B0C" w:rsidRPr="005E4B0C" w:rsidTr="002D19E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B0C" w:rsidRPr="004F2031" w:rsidRDefault="005E4B0C" w:rsidP="009907D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B0C" w:rsidRPr="005E4B0C" w:rsidRDefault="005E4B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5E4B0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student is able to select and apply appropriate methods, techniques and research tools useful in microbiological work </w:t>
            </w:r>
            <w:r w:rsidRPr="005E4B0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 xml:space="preserve">and </w:t>
            </w:r>
            <w:proofErr w:type="spellStart"/>
            <w:r w:rsidRPr="005E4B0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analyze</w:t>
            </w:r>
            <w:proofErr w:type="spellEnd"/>
            <w:r w:rsidRPr="005E4B0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them based on basic and current statistical methods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B0C" w:rsidRDefault="005E4B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>O_S_11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AA1FCD" w:rsidRPr="001F0265" w:rsidRDefault="00AA1FCD" w:rsidP="001F0265">
      <w:p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9497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97"/>
      </w:tblGrid>
      <w:tr w:rsidR="00AA1FCD" w:rsidRPr="008E1386" w:rsidTr="005A262E">
        <w:trPr>
          <w:trHeight w:val="20"/>
        </w:trPr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 w:rsidP="005A262E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846295" w:rsidTr="005A262E">
        <w:trPr>
          <w:trHeight w:val="20"/>
        </w:trPr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A262E" w:rsidRDefault="002D19E6" w:rsidP="005A262E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5A262E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Practical requirements for </w:t>
            </w:r>
            <w:r w:rsidR="005A262E" w:rsidRPr="005A262E">
              <w:rPr>
                <w:rFonts w:ascii="Corbel" w:hAnsi="Corbel" w:cs="Tahoma"/>
                <w:color w:val="auto"/>
                <w:szCs w:val="24"/>
                <w:lang w:val="en-GB"/>
              </w:rPr>
              <w:t>microbiology</w:t>
            </w:r>
            <w:r w:rsidRPr="005A262E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research, good laboratory practice</w:t>
            </w:r>
          </w:p>
        </w:tc>
      </w:tr>
      <w:tr w:rsidR="005A262E" w:rsidRPr="00F200B8" w:rsidTr="005A262E">
        <w:trPr>
          <w:trHeight w:val="20"/>
        </w:trPr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262E" w:rsidRPr="005A262E" w:rsidRDefault="005A262E" w:rsidP="005A262E">
            <w:pPr>
              <w:spacing w:after="0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Sterilization</w:t>
            </w:r>
            <w:proofErr w:type="spellEnd"/>
            <w:r>
              <w:rPr>
                <w:rFonts w:ascii="Corbel" w:hAnsi="Corbel"/>
              </w:rPr>
              <w:t xml:space="preserve"> and </w:t>
            </w:r>
            <w:proofErr w:type="spellStart"/>
            <w:r>
              <w:rPr>
                <w:rFonts w:ascii="Corbel" w:hAnsi="Corbel"/>
              </w:rPr>
              <w:t>disinfection</w:t>
            </w:r>
            <w:proofErr w:type="spellEnd"/>
          </w:p>
        </w:tc>
      </w:tr>
      <w:tr w:rsidR="005A262E" w:rsidRPr="00846295" w:rsidTr="005A262E">
        <w:trPr>
          <w:trHeight w:val="20"/>
        </w:trPr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262E" w:rsidRPr="005A262E" w:rsidRDefault="005A262E" w:rsidP="005A262E">
            <w:pPr>
              <w:spacing w:after="0"/>
              <w:rPr>
                <w:rFonts w:ascii="Corbel" w:hAnsi="Corbel"/>
                <w:lang w:val="en-US"/>
              </w:rPr>
            </w:pPr>
            <w:r w:rsidRPr="005A262E">
              <w:rPr>
                <w:rFonts w:ascii="Corbel" w:hAnsi="Corbel"/>
                <w:lang w:val="en-US"/>
              </w:rPr>
              <w:t>Microscopy. The morphology of microorganisms</w:t>
            </w:r>
          </w:p>
        </w:tc>
      </w:tr>
      <w:tr w:rsidR="005A262E" w:rsidRPr="00846295" w:rsidTr="005A262E">
        <w:trPr>
          <w:trHeight w:val="20"/>
        </w:trPr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262E" w:rsidRPr="005A262E" w:rsidRDefault="005A262E" w:rsidP="005A262E">
            <w:pPr>
              <w:spacing w:after="0"/>
              <w:rPr>
                <w:rFonts w:ascii="Corbel" w:hAnsi="Corbel"/>
                <w:lang w:val="en-US"/>
              </w:rPr>
            </w:pPr>
            <w:r w:rsidRPr="005A262E">
              <w:rPr>
                <w:rFonts w:ascii="Corbel" w:hAnsi="Corbel"/>
                <w:lang w:val="en-US"/>
              </w:rPr>
              <w:t>Bacterial cytology. Staining techniques used in microbiology.</w:t>
            </w:r>
          </w:p>
        </w:tc>
      </w:tr>
      <w:tr w:rsidR="005A262E" w:rsidRPr="00846295" w:rsidTr="005A262E">
        <w:trPr>
          <w:trHeight w:val="20"/>
        </w:trPr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262E" w:rsidRPr="005A262E" w:rsidRDefault="005A262E" w:rsidP="005A262E">
            <w:pPr>
              <w:spacing w:after="0"/>
              <w:rPr>
                <w:rFonts w:ascii="Corbel" w:hAnsi="Corbel"/>
                <w:lang w:val="en-US"/>
              </w:rPr>
            </w:pPr>
            <w:r w:rsidRPr="005A262E">
              <w:rPr>
                <w:rFonts w:ascii="Corbel" w:hAnsi="Corbel"/>
                <w:lang w:val="en-US"/>
              </w:rPr>
              <w:t>Methods of microbial cultivation. Method of isolating pure cultures.</w:t>
            </w:r>
          </w:p>
        </w:tc>
      </w:tr>
      <w:tr w:rsidR="005A262E" w:rsidRPr="00F200B8" w:rsidTr="005A262E">
        <w:trPr>
          <w:trHeight w:val="20"/>
        </w:trPr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262E" w:rsidRPr="005A262E" w:rsidRDefault="005A262E" w:rsidP="005A262E">
            <w:pPr>
              <w:spacing w:after="0"/>
              <w:rPr>
                <w:rFonts w:ascii="Corbel" w:hAnsi="Corbel"/>
              </w:rPr>
            </w:pPr>
            <w:proofErr w:type="spellStart"/>
            <w:r w:rsidRPr="005A262E">
              <w:rPr>
                <w:rFonts w:ascii="Corbel" w:hAnsi="Corbel"/>
              </w:rPr>
              <w:t>Microbiological</w:t>
            </w:r>
            <w:proofErr w:type="spellEnd"/>
            <w:r w:rsidRPr="005A262E">
              <w:rPr>
                <w:rFonts w:ascii="Corbel" w:hAnsi="Corbel"/>
              </w:rPr>
              <w:t xml:space="preserve"> media</w:t>
            </w:r>
          </w:p>
        </w:tc>
      </w:tr>
      <w:tr w:rsidR="005A262E" w:rsidRPr="00846295" w:rsidTr="005A262E">
        <w:trPr>
          <w:trHeight w:val="20"/>
        </w:trPr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262E" w:rsidRPr="005A262E" w:rsidRDefault="005A262E" w:rsidP="005A262E">
            <w:pPr>
              <w:spacing w:after="0"/>
              <w:rPr>
                <w:rFonts w:ascii="Corbel" w:hAnsi="Corbel"/>
                <w:lang w:val="en-US"/>
              </w:rPr>
            </w:pPr>
            <w:r w:rsidRPr="005A262E">
              <w:rPr>
                <w:rFonts w:ascii="Corbel" w:hAnsi="Corbel"/>
                <w:lang w:val="en-US"/>
              </w:rPr>
              <w:t>Methods for determining the number and size of microorganisms</w:t>
            </w:r>
          </w:p>
        </w:tc>
      </w:tr>
      <w:tr w:rsidR="005A262E" w:rsidRPr="00846295" w:rsidTr="005A262E">
        <w:trPr>
          <w:trHeight w:val="20"/>
        </w:trPr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262E" w:rsidRPr="005A262E" w:rsidRDefault="005A262E" w:rsidP="005A262E">
            <w:pPr>
              <w:spacing w:after="0"/>
              <w:rPr>
                <w:rFonts w:ascii="Corbel" w:hAnsi="Corbel"/>
                <w:lang w:val="en-US"/>
              </w:rPr>
            </w:pPr>
            <w:r w:rsidRPr="005A262E">
              <w:rPr>
                <w:rFonts w:ascii="Corbel" w:hAnsi="Corbel"/>
                <w:lang w:val="en-US"/>
              </w:rPr>
              <w:t>The influence of physical and chemical factors on bacteria</w:t>
            </w:r>
          </w:p>
        </w:tc>
      </w:tr>
      <w:tr w:rsidR="005A262E" w:rsidRPr="00846295" w:rsidTr="005A262E">
        <w:trPr>
          <w:trHeight w:val="20"/>
        </w:trPr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262E" w:rsidRPr="005A262E" w:rsidRDefault="005A262E" w:rsidP="005A262E">
            <w:pPr>
              <w:spacing w:after="0"/>
              <w:rPr>
                <w:rFonts w:ascii="Corbel" w:hAnsi="Corbel"/>
                <w:lang w:val="en-US"/>
              </w:rPr>
            </w:pPr>
            <w:r w:rsidRPr="005A262E">
              <w:rPr>
                <w:rFonts w:ascii="Corbel" w:hAnsi="Corbel"/>
                <w:lang w:val="en-US"/>
              </w:rPr>
              <w:t>Identification of microorganisms. Selected biochemical properties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AA1FCD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1F0265" w:rsidRPr="006C27F1" w:rsidRDefault="001F0265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</w:p>
    <w:p w:rsidR="00AA1FCD" w:rsidRPr="004F2031" w:rsidRDefault="006C27F1" w:rsidP="006C27F1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6C27F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Laboratory exercises - work in the laboratory, work in groups, processing the results, performing experiments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79"/>
        <w:gridCol w:w="4961"/>
        <w:gridCol w:w="2193"/>
      </w:tblGrid>
      <w:tr w:rsidR="00AA1FCD" w:rsidRPr="004F2031" w:rsidTr="009907D2"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:rsidTr="009907D2"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A262E" w:rsidRDefault="005A262E" w:rsidP="009907D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5A262E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  <w:r w:rsidR="006C27F1" w:rsidRPr="005A262E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 xml:space="preserve"> – Lo-0</w:t>
            </w:r>
            <w:r w:rsidRPr="005A262E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A262E" w:rsidRDefault="005A262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5A262E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test, activity, observation during classes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C27F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846295" w:rsidTr="009907D2">
        <w:tc>
          <w:tcPr>
            <w:tcW w:w="9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Default="009907D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For</w:t>
            </w:r>
            <w:r w:rsidRPr="009907D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passing the course is the achievement of all assumed learning outcomes.</w:t>
            </w:r>
          </w:p>
          <w:p w:rsidR="009907D2" w:rsidRDefault="009907D2" w:rsidP="009907D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Lab classes: </w:t>
            </w:r>
          </w:p>
          <w:p w:rsidR="009907D2" w:rsidRDefault="009907D2" w:rsidP="009907D2">
            <w:pPr>
              <w:pStyle w:val="Punktygwne"/>
              <w:numPr>
                <w:ilvl w:val="0"/>
                <w:numId w:val="7"/>
              </w:numPr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907D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conducting laboratory experiments,</w:t>
            </w:r>
          </w:p>
          <w:p w:rsidR="009907D2" w:rsidRDefault="009907D2" w:rsidP="009907D2">
            <w:pPr>
              <w:pStyle w:val="Punktygwne"/>
              <w:numPr>
                <w:ilvl w:val="0"/>
                <w:numId w:val="7"/>
              </w:numPr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907D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>colloquium</w:t>
            </w:r>
          </w:p>
          <w:p w:rsidR="009907D2" w:rsidRPr="009907D2" w:rsidRDefault="009907D2" w:rsidP="009907D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907D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Obtaining a positive grade from the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lab classes is required </w:t>
            </w:r>
            <w:r w:rsidRPr="009907D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for taking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part in</w:t>
            </w:r>
            <w:r w:rsidRPr="009907D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the exam.</w:t>
            </w:r>
          </w:p>
          <w:p w:rsidR="00AA1FCD" w:rsidRPr="004F2031" w:rsidRDefault="00AA1FCD" w:rsidP="006C27F1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907D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E03DC5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A75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10</w:t>
            </w:r>
          </w:p>
        </w:tc>
      </w:tr>
      <w:tr w:rsidR="00AA1FCD" w:rsidRPr="00E03DC5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A75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85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A75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E03DC5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907D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997"/>
      </w:tblGrid>
      <w:tr w:rsidR="00AA1FCD" w:rsidRPr="004F2031" w:rsidTr="004A753B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:rsidTr="004A753B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854"/>
      </w:tblGrid>
      <w:tr w:rsidR="00AA1FCD" w:rsidRPr="00F200B8" w:rsidTr="004A753B">
        <w:trPr>
          <w:trHeight w:val="532"/>
        </w:trPr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924DAC" w:rsidRPr="004F2031" w:rsidRDefault="00924DA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:rsidR="005E4B0C" w:rsidRDefault="005E4B0C" w:rsidP="005E4B0C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E4B0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Microbiology Lab Manual: Principles and Applications b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y S.A.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Norrrell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&amp; K.E.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Messley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Prentice Hall – 1999</w:t>
            </w:r>
          </w:p>
          <w:p w:rsidR="005E4B0C" w:rsidRDefault="005E4B0C" w:rsidP="005E4B0C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E4B0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Microbiology: Laboratory Manual by J.G. Cappucci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no &amp; N. Sharman, Pearson – 2011</w:t>
            </w:r>
          </w:p>
          <w:p w:rsidR="001711D8" w:rsidRPr="004F2031" w:rsidRDefault="005E4B0C" w:rsidP="005E4B0C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E4B0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Laboratory Experiments in Microbiolo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gy by T.R. Johnson &amp; C.L. Case, </w:t>
            </w:r>
            <w:r w:rsidRPr="005E4B0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Benjamin/Cumming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s </w:t>
            </w:r>
            <w:r w:rsidRPr="005E4B0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Pub. Co - 12th Edition – 2019</w:t>
            </w:r>
          </w:p>
        </w:tc>
      </w:tr>
      <w:tr w:rsidR="00AA1FCD" w:rsidRPr="00846295" w:rsidTr="004A753B">
        <w:trPr>
          <w:trHeight w:val="532"/>
        </w:trPr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AA1FCD" w:rsidRPr="004F2031" w:rsidRDefault="005A262E" w:rsidP="005E4B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General Microbiology by </w:t>
            </w:r>
            <w:r w:rsidRPr="005A262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Hans G. Schlegel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- 1999</w:t>
            </w: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AA1FCD" w:rsidRPr="004F2031" w:rsidRDefault="00AA1FCD">
      <w:pPr>
        <w:rPr>
          <w:rFonts w:ascii="Corbel" w:hAnsi="Corbel"/>
          <w:color w:val="auto"/>
          <w:lang w:val="en-US"/>
        </w:rPr>
      </w:pPr>
    </w:p>
    <w:p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52E" w:rsidRDefault="00F5252E">
      <w:pPr>
        <w:spacing w:after="0" w:line="240" w:lineRule="auto"/>
      </w:pPr>
      <w:r>
        <w:separator/>
      </w:r>
    </w:p>
  </w:endnote>
  <w:endnote w:type="continuationSeparator" w:id="0">
    <w:p w:rsidR="00F5252E" w:rsidRDefault="00F5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84629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52E" w:rsidRDefault="00F5252E">
      <w:pPr>
        <w:spacing w:after="0" w:line="240" w:lineRule="auto"/>
      </w:pPr>
      <w:r>
        <w:separator/>
      </w:r>
    </w:p>
  </w:footnote>
  <w:footnote w:type="continuationSeparator" w:id="0">
    <w:p w:rsidR="00F5252E" w:rsidRDefault="00F52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5FD"/>
    <w:multiLevelType w:val="hybridMultilevel"/>
    <w:tmpl w:val="4114F54C"/>
    <w:lvl w:ilvl="0" w:tplc="59FEF472">
      <w:start w:val="4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BCIjExNzUxMLC1NzAyUdpeDU4uLM/DyQAuNaAI0qM5MsAAAA"/>
  </w:docVars>
  <w:rsids>
    <w:rsidRoot w:val="00AA1FCD"/>
    <w:rsid w:val="000644EB"/>
    <w:rsid w:val="00073A75"/>
    <w:rsid w:val="001711D8"/>
    <w:rsid w:val="001C26A0"/>
    <w:rsid w:val="001F0265"/>
    <w:rsid w:val="0028211C"/>
    <w:rsid w:val="002D19E6"/>
    <w:rsid w:val="002D7484"/>
    <w:rsid w:val="00300BF3"/>
    <w:rsid w:val="003730E0"/>
    <w:rsid w:val="004743A8"/>
    <w:rsid w:val="004A753B"/>
    <w:rsid w:val="004F2031"/>
    <w:rsid w:val="00547266"/>
    <w:rsid w:val="00577871"/>
    <w:rsid w:val="005A262E"/>
    <w:rsid w:val="005E4B0C"/>
    <w:rsid w:val="005F3199"/>
    <w:rsid w:val="006C010D"/>
    <w:rsid w:val="006C27F1"/>
    <w:rsid w:val="00846295"/>
    <w:rsid w:val="008E1386"/>
    <w:rsid w:val="008F60A0"/>
    <w:rsid w:val="00924DAC"/>
    <w:rsid w:val="009907D2"/>
    <w:rsid w:val="009B76D7"/>
    <w:rsid w:val="009F7732"/>
    <w:rsid w:val="00A07FFB"/>
    <w:rsid w:val="00AA1FCD"/>
    <w:rsid w:val="00B40561"/>
    <w:rsid w:val="00CC6A66"/>
    <w:rsid w:val="00D62379"/>
    <w:rsid w:val="00E03DC5"/>
    <w:rsid w:val="00EA249D"/>
    <w:rsid w:val="00EE6C26"/>
    <w:rsid w:val="00F200B8"/>
    <w:rsid w:val="00F32FE2"/>
    <w:rsid w:val="00F5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FC01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DEA06-B8F9-42E8-954A-EE4D70FB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Kamila Filip</cp:lastModifiedBy>
  <cp:revision>4</cp:revision>
  <cp:lastPrinted>2017-07-04T06:31:00Z</cp:lastPrinted>
  <dcterms:created xsi:type="dcterms:W3CDTF">2023-03-09T12:19:00Z</dcterms:created>
  <dcterms:modified xsi:type="dcterms:W3CDTF">2023-12-11T11:41:00Z</dcterms:modified>
  <dc:language>pl-PL</dc:language>
</cp:coreProperties>
</file>