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FB5F82C" w14:textId="77777777" w:rsidR="009064DA" w:rsidRDefault="009064DA" w:rsidP="009064DA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0" w:name="_Hlk190948433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1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October 2025 TO OCTOBER 202</w:t>
      </w:r>
      <w:bookmarkEnd w:id="1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22FE6C3B" w14:textId="77777777" w:rsidR="009064DA" w:rsidRPr="004F2031" w:rsidRDefault="009064DA" w:rsidP="009064DA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bookmarkEnd w:id="0"/>
    <w:p w14:paraId="2CA705FD" w14:textId="77777777" w:rsidR="003435E3" w:rsidRPr="004F2031" w:rsidRDefault="003435E3" w:rsidP="003435E3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4DF2CBFF" w:rsidR="00AA1FCD" w:rsidRPr="004F37E7" w:rsidRDefault="00805AF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F37E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 and fertility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37E7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3224D8D1" w:rsidR="00AA1FCD" w:rsidRPr="004F37E7" w:rsidRDefault="00805AF9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32"/>
                <w:lang w:val="en-GB"/>
              </w:rPr>
            </w:pPr>
            <w:r w:rsidRPr="004F37E7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32"/>
                <w:lang w:val="en-GB"/>
              </w:rPr>
              <w:t>Collegium Medicum</w:t>
            </w:r>
            <w:r w:rsidR="004F37E7" w:rsidRPr="004F37E7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32"/>
                <w:lang w:val="en-GB"/>
              </w:rPr>
              <w:t>, Rzeszow University</w:t>
            </w:r>
          </w:p>
        </w:tc>
      </w:tr>
      <w:tr w:rsidR="00AA1FCD" w:rsidRPr="003A238E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0C9FF1B4" w:rsidR="00AA1FCD" w:rsidRPr="004F37E7" w:rsidRDefault="00032423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32"/>
                <w:lang w:val="en-GB"/>
              </w:rPr>
            </w:pPr>
            <w:r w:rsidRPr="004F37E7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32"/>
                <w:lang w:val="en-GB"/>
              </w:rPr>
              <w:t>Faculty of Health Sciences and Psychology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048CDDC8" w:rsidR="00AA1FCD" w:rsidRPr="004F2031" w:rsidRDefault="0003242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1CD6DD0A" w:rsidR="00AA1FCD" w:rsidRPr="004F2031" w:rsidRDefault="004F37E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4F37E7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432B9600" w:rsidR="00AA1FCD" w:rsidRPr="004F37E7" w:rsidRDefault="004F37E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CED0D49" w:rsidR="00AA1FCD" w:rsidRPr="004F37E7" w:rsidRDefault="003435E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4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study</w:t>
            </w:r>
          </w:p>
        </w:tc>
      </w:tr>
      <w:tr w:rsidR="00AA1FCD" w:rsidRPr="004F37E7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3C5686EF" w:rsidR="00AA1FCD" w:rsidRPr="004F37E7" w:rsidRDefault="004F37E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 year, I</w:t>
            </w:r>
            <w:r w:rsidR="005F607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V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3A238E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49F80551" w:rsidR="00AA1FCD" w:rsidRPr="004F37E7" w:rsidRDefault="004F37E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4322C542" w:rsidR="00AA1FCD" w:rsidRPr="004F2031" w:rsidRDefault="0003242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16C686E6" w:rsidR="00AA1FCD" w:rsidRPr="004F2031" w:rsidRDefault="004857E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857E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Izabela Michońska, M</w:t>
            </w:r>
            <w:r w:rsidR="00451D4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Sc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7BBC0BB9" w:rsidR="00AA1FCD" w:rsidRPr="004F2031" w:rsidRDefault="004857E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857E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Izabela Michońska, M</w:t>
            </w:r>
            <w:r w:rsidR="00451D4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Sc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6246F0FB" w:rsidR="00FA1C61" w:rsidRPr="004F2031" w:rsidRDefault="003A238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470062BF" w:rsidR="00FA1C61" w:rsidRPr="004F2031" w:rsidRDefault="00EB0D3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3A4A7C4F" w:rsidR="00FA1C61" w:rsidRPr="004F2031" w:rsidRDefault="003435E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4D90942" w:rsidR="00FA1C61" w:rsidRPr="004F2031" w:rsidRDefault="00EB0D3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45451AF1" w:rsidR="00FA1C61" w:rsidRPr="004F2031" w:rsidRDefault="00EB0D3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07277409" w:rsidR="00FA1C61" w:rsidRPr="004F2031" w:rsidRDefault="00EB0D3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0F9B20A4" w:rsidR="00FA1C61" w:rsidRPr="004F2031" w:rsidRDefault="00EB0D3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4D3FDCDD" w:rsidR="00FA1C61" w:rsidRPr="004F2031" w:rsidRDefault="00EB0D3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0603A436" w:rsidR="00FA1C61" w:rsidRPr="004F2031" w:rsidRDefault="000324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732D168" w14:textId="4016C43C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  <w:r w:rsidR="004F37E7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and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60DB51D6" w:rsidR="00AA1FCD" w:rsidRPr="004F2031" w:rsidRDefault="004F37E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007A7BF" w14:textId="77777777" w:rsidR="004F37E7" w:rsidRPr="004F2031" w:rsidRDefault="004F37E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81371D" w:rsidRPr="003A238E" w14:paraId="6EE3C388" w14:textId="77777777" w:rsidTr="0081371D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96FB0D" w14:textId="1929F05D" w:rsidR="0081371D" w:rsidRPr="004F2031" w:rsidRDefault="0081371D" w:rsidP="004F37E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anatomy and physiology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Pr="004F37E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 particular, the reproductive and endocrine systems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3A238E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2442129C" w:rsidR="00AA1FCD" w:rsidRPr="00EA78DB" w:rsidRDefault="00EA78DB" w:rsidP="0081371D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EA78D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To consolidate and expand knowledge in the field of pathophysiology, diagnostics, pharmacological treatment of diseases related to the human endocrine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and reproductive </w:t>
            </w:r>
            <w:r w:rsidRPr="00EA78D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system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Pr="00EA78D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, affecting fertility, including infertility, thyroid disorders, hyperprolactinemia, polycystic ovar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ian </w:t>
            </w:r>
            <w:r w:rsidRPr="00EA78D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syndrome, endometriosis, functional hypothalamic amenorrhea, and others.</w:t>
            </w:r>
          </w:p>
        </w:tc>
      </w:tr>
      <w:tr w:rsidR="00AA1FCD" w:rsidRPr="003A238E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3ADEB06E" w:rsidR="00AA1FCD" w:rsidRPr="004F2031" w:rsidRDefault="004F37E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54C65C1F" w:rsidR="00AA1FCD" w:rsidRPr="004F2031" w:rsidRDefault="00EA78DB" w:rsidP="0081371D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A78D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To learn about diet therapy for female and male infertility and related conditions, and the impact of the implemented diet on the occurrence and course of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the </w:t>
            </w:r>
            <w:r w:rsidRPr="00EA78D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disease.</w:t>
            </w:r>
          </w:p>
        </w:tc>
      </w:tr>
      <w:tr w:rsidR="00AA1FCD" w:rsidRPr="003A238E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3F25A78F" w:rsidR="00AA1FCD" w:rsidRPr="004F2031" w:rsidRDefault="004F37E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2DFAD3BC" w:rsidR="00AA1FCD" w:rsidRPr="004F2031" w:rsidRDefault="00EA78DB" w:rsidP="0081371D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To familiarize </w:t>
            </w:r>
            <w:r w:rsidRPr="00EA78D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with diet prophylaxis and the role of diet among women in the pre-conception period.</w:t>
            </w:r>
          </w:p>
        </w:tc>
      </w:tr>
      <w:tr w:rsidR="00EA78DB" w:rsidRPr="003A238E" w14:paraId="03368BF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7379BB" w14:textId="3E449FA9" w:rsidR="00EA78DB" w:rsidRPr="004F2031" w:rsidRDefault="00EA78D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11CEC7" w14:textId="58C8F55D" w:rsidR="00EA78DB" w:rsidRPr="00DB5F46" w:rsidRDefault="00B20521" w:rsidP="0081371D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systematize and to deepen knowledge about nutrition in endocrine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and reproductive </w:t>
            </w: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system diseases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3A238E" w14:paraId="0827CF6D" w14:textId="77777777" w:rsidTr="00B2052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506617D" w14:textId="77777777" w:rsidTr="00B2052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17640A27" w:rsidR="00AA1FCD" w:rsidRPr="004F2031" w:rsidRDefault="00B20521" w:rsidP="0081371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</w:t>
            </w:r>
            <w:r w:rsidRPr="00B2052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understand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B2052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social, ethical and methodological conditions of the professional activity of a nutritionist in the context of diseases related to human fertility.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3C0C13F3" w:rsidR="00AA1FCD" w:rsidRPr="00B20521" w:rsidRDefault="00B20521" w:rsidP="00B205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K_W01 </w:t>
            </w:r>
          </w:p>
        </w:tc>
      </w:tr>
      <w:tr w:rsidR="00AA1FCD" w:rsidRPr="004F2031" w14:paraId="799DB30C" w14:textId="77777777" w:rsidTr="00B2052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29AE943A" w:rsidR="00AA1FCD" w:rsidRPr="004F2031" w:rsidRDefault="00B20521" w:rsidP="0081371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Acquire </w:t>
            </w:r>
            <w:r w:rsidRPr="00B2052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extended knowledge in the field of prevention of diet-related diseases affecting human fertility.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Pr="00B2052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now the principles of dietary management in selected fertility-related diseases, select products appropriately to nutritional recommendations in selected diseases, taking into account the different needs of patients resulting from their gender, age, religion, ethnicity and other socio-cultural conditions.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55129726" w:rsidR="00AA1FCD" w:rsidRPr="00B20521" w:rsidRDefault="00B20521" w:rsidP="00B205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K_W02 </w:t>
            </w:r>
          </w:p>
        </w:tc>
      </w:tr>
      <w:tr w:rsidR="00B20521" w:rsidRPr="004F2031" w14:paraId="4EEA8687" w14:textId="77777777" w:rsidTr="00B2052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4065C5C2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224CD43E" w:rsidR="00B20521" w:rsidRPr="004F2031" w:rsidRDefault="00B20521" w:rsidP="0081371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2052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ability to critically evaluate one's own knowledge and the content received during classes.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453D7CD3" w:rsidR="00B20521" w:rsidRPr="00B20521" w:rsidRDefault="00B20521" w:rsidP="00B205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K_K05 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lastRenderedPageBreak/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D6EEC96" w14:textId="478D75C2" w:rsidR="00AA1FCD" w:rsidRDefault="002D7484" w:rsidP="004F37E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5C117BFF" w14:textId="77777777" w:rsidR="004F37E7" w:rsidRPr="004F37E7" w:rsidRDefault="004F37E7" w:rsidP="004F37E7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3A238E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5ED60B19" w:rsidR="00AA1FCD" w:rsidRPr="004F2031" w:rsidRDefault="00B2052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20521">
              <w:rPr>
                <w:rFonts w:ascii="Corbel" w:hAnsi="Corbel" w:cs="Tahoma"/>
                <w:color w:val="auto"/>
                <w:szCs w:val="24"/>
                <w:lang w:val="en-GB"/>
              </w:rPr>
              <w:t>Pathophysiology and diet-based prevention of female infertility related to, among others: thyroid disorders, hyperprolactinemia, polycystic ovary syndrome, endometriosis, functional hypothalamic amenorrhea, lifestyle, etc.</w:t>
            </w:r>
          </w:p>
        </w:tc>
      </w:tr>
      <w:tr w:rsidR="00AA1FCD" w:rsidRPr="003A238E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5D5A78AA" w:rsidR="00AA1FCD" w:rsidRPr="004F2031" w:rsidRDefault="00B2052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20521">
              <w:rPr>
                <w:rFonts w:ascii="Corbel" w:hAnsi="Corbel" w:cs="Tahoma"/>
                <w:color w:val="auto"/>
                <w:szCs w:val="24"/>
                <w:lang w:val="en-GB"/>
              </w:rPr>
              <w:t>Pathophysiology and diet-based prevention of male infertility related to, among others: thyroid disorders, hyperprolactinemia, hypopituitarism, gonadal hypoplasia, diabetes, liver diseases, lifestyle, etc.</w:t>
            </w:r>
          </w:p>
        </w:tc>
      </w:tr>
      <w:tr w:rsidR="00AA1FCD" w:rsidRPr="003A238E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42B8D589" w:rsidR="00AA1FCD" w:rsidRPr="004F2031" w:rsidRDefault="00B2052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20521">
              <w:rPr>
                <w:rFonts w:ascii="Corbel" w:hAnsi="Corbel" w:cs="Tahoma"/>
                <w:color w:val="auto"/>
                <w:szCs w:val="24"/>
                <w:lang w:val="en-GB"/>
              </w:rPr>
              <w:t>The importance of nutritional prevention in the context of female and male fertility.</w:t>
            </w:r>
          </w:p>
        </w:tc>
      </w:tr>
      <w:tr w:rsidR="00AA1FCD" w:rsidRPr="003A238E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6BDBD791" w:rsidR="00AA1FCD" w:rsidRPr="004F2031" w:rsidRDefault="00B2052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20521">
              <w:rPr>
                <w:rFonts w:ascii="Corbel" w:hAnsi="Corbel" w:cs="Tahoma"/>
                <w:color w:val="auto"/>
                <w:szCs w:val="24"/>
                <w:lang w:val="en-GB"/>
              </w:rPr>
              <w:t>The impact of nutrition in the preconception period on the health of the mother-to-be and her child.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9A2E309" w14:textId="77777777" w:rsidR="004F37E7" w:rsidRDefault="004F37E7" w:rsidP="004F37E7">
      <w:pPr>
        <w:pStyle w:val="Punktygwne"/>
        <w:spacing w:before="0" w:after="0"/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</w:pPr>
    </w:p>
    <w:p w14:paraId="00A36B44" w14:textId="4C228BC2" w:rsidR="004F37E7" w:rsidRPr="00DB5F46" w:rsidRDefault="004F37E7" w:rsidP="004F37E7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  <w:t>Classes</w:t>
      </w:r>
      <w:r w:rsidRPr="00DB5F4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: text analysis and discussion/project work</w:t>
      </w: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/</w:t>
      </w:r>
      <w:r w:rsidRPr="00DB5F4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group work (problem solving, case study, discussion)</w:t>
      </w: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/didactic games</w:t>
      </w:r>
    </w:p>
    <w:p w14:paraId="7931A567" w14:textId="77777777" w:rsidR="004F37E7" w:rsidRPr="004F2031" w:rsidRDefault="004F37E7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B2040F6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D55334" w14:textId="77777777" w:rsidR="004F37E7" w:rsidRPr="004F2031" w:rsidRDefault="004F37E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B2052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B20521" w:rsidRPr="004F2031" w14:paraId="628EAAB9" w14:textId="77777777" w:rsidTr="00B2052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4C86086A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410645A9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7DC24B3E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  <w:tr w:rsidR="00B20521" w:rsidRPr="004F2031" w14:paraId="46FCA204" w14:textId="77777777" w:rsidTr="00B2052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DDA79C7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6A516255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6742FE35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  <w:tr w:rsidR="00B20521" w:rsidRPr="004F2031" w14:paraId="272BCB9C" w14:textId="77777777" w:rsidTr="00B2052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7E6DC8" w14:textId="62FB5EBD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4654DE" w14:textId="4E838ADB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329FDD" w14:textId="1463A5EF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47BE57" w14:textId="77777777" w:rsidR="004F37E7" w:rsidRPr="00DB5F46" w:rsidRDefault="004F37E7" w:rsidP="004F37E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Full participation and evaluation of student activity during classes.</w:t>
            </w:r>
          </w:p>
          <w:p w14:paraId="645DE2B3" w14:textId="77777777" w:rsidR="004F37E7" w:rsidRPr="00DB5F46" w:rsidRDefault="004F37E7" w:rsidP="004F37E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Assessment of preparation for classes.</w:t>
            </w:r>
          </w:p>
          <w:p w14:paraId="00CED7BB" w14:textId="77777777" w:rsidR="004F37E7" w:rsidRPr="00DB5F46" w:rsidRDefault="004F37E7" w:rsidP="004F37E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Project method.</w:t>
            </w:r>
          </w:p>
          <w:p w14:paraId="1A36C739" w14:textId="77777777" w:rsidR="004F37E7" w:rsidRPr="00DB5F46" w:rsidRDefault="004F37E7" w:rsidP="004F37E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Test.</w:t>
            </w:r>
          </w:p>
          <w:p w14:paraId="4285A894" w14:textId="77777777" w:rsidR="004F37E7" w:rsidRDefault="004F37E7" w:rsidP="004F37E7">
            <w:pPr>
              <w:pStyle w:val="Punktygwne"/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  <w:p w14:paraId="4D4C23E1" w14:textId="77777777" w:rsidR="0081371D" w:rsidRDefault="0081371D" w:rsidP="004F37E7">
            <w:pPr>
              <w:pStyle w:val="Punktygwne"/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  <w:p w14:paraId="66CDB779" w14:textId="77777777" w:rsidR="0081371D" w:rsidRPr="00DB5F46" w:rsidRDefault="0081371D" w:rsidP="004F37E7">
            <w:pPr>
              <w:pStyle w:val="Punktygwne"/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  <w:p w14:paraId="1CA11710" w14:textId="77777777" w:rsidR="004F37E7" w:rsidRPr="00DB5F46" w:rsidRDefault="004F37E7" w:rsidP="004F37E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lastRenderedPageBreak/>
              <w:t>Grading:</w:t>
            </w:r>
          </w:p>
          <w:p w14:paraId="6AFE8226" w14:textId="77777777" w:rsidR="004F37E7" w:rsidRPr="00DB5F46" w:rsidRDefault="004F37E7" w:rsidP="004F37E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A* 100- 95%</w:t>
            </w:r>
          </w:p>
          <w:p w14:paraId="40D3D4A1" w14:textId="77777777" w:rsidR="004F37E7" w:rsidRPr="00DB5F46" w:rsidRDefault="004F37E7" w:rsidP="004F37E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A= 94- 90%</w:t>
            </w:r>
          </w:p>
          <w:p w14:paraId="199102D3" w14:textId="77777777" w:rsidR="004F37E7" w:rsidRPr="00DB5F46" w:rsidRDefault="004F37E7" w:rsidP="004F37E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B* = 89- 85%</w:t>
            </w:r>
          </w:p>
          <w:p w14:paraId="6B26266D" w14:textId="77777777" w:rsidR="004F37E7" w:rsidRPr="00DB5F46" w:rsidRDefault="004F37E7" w:rsidP="004F37E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B= 84- 80%</w:t>
            </w:r>
          </w:p>
          <w:p w14:paraId="319D1245" w14:textId="77777777" w:rsidR="004F37E7" w:rsidRPr="00DB5F46" w:rsidRDefault="004F37E7" w:rsidP="004F37E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C* = 79- 75%</w:t>
            </w:r>
          </w:p>
          <w:p w14:paraId="71D29F7B" w14:textId="77777777" w:rsidR="004F37E7" w:rsidRPr="00DB5F46" w:rsidRDefault="004F37E7" w:rsidP="004F37E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C= 74- 70%</w:t>
            </w:r>
          </w:p>
          <w:p w14:paraId="383D174A" w14:textId="77777777" w:rsidR="004F37E7" w:rsidRPr="00DB5F46" w:rsidRDefault="004F37E7" w:rsidP="004F37E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D* = 69- 65%</w:t>
            </w:r>
          </w:p>
          <w:p w14:paraId="1AB3310D" w14:textId="77777777" w:rsidR="004F37E7" w:rsidRPr="00DB5F46" w:rsidRDefault="004F37E7" w:rsidP="004F37E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D= 64- 60%</w:t>
            </w:r>
          </w:p>
          <w:p w14:paraId="3171E670" w14:textId="12A3313F" w:rsidR="00AA1FCD" w:rsidRPr="004F37E7" w:rsidRDefault="004F37E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  &gt; 60%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67C68EB7" w:rsidR="00AA1FCD" w:rsidRPr="004F2031" w:rsidRDefault="004F37E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3A238E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4F37E7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804FA02" w:rsidR="00AA1FCD" w:rsidRPr="004F2031" w:rsidRDefault="004F37E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55B92E5D" w:rsidR="00AA1FCD" w:rsidRPr="004F2031" w:rsidRDefault="004F37E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AA1FCD" w:rsidRPr="004F37E7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3C3489F7" w:rsidR="00AA1FCD" w:rsidRPr="004F2031" w:rsidRDefault="004F37E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4DE187F5" w:rsidR="00AA1FCD" w:rsidRPr="00B20521" w:rsidRDefault="00B20521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B2052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60299C71" w:rsidR="00AA1FCD" w:rsidRPr="00B20521" w:rsidRDefault="00B20521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B2052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337F3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E26B80" w14:textId="6942EEE8" w:rsidR="00BE1F3C" w:rsidRDefault="00BE1F3C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BE1F3C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ED83224" w14:textId="77777777" w:rsidR="00BE1F3C" w:rsidRPr="00BE1F3C" w:rsidRDefault="00BE1F3C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</w:p>
          <w:p w14:paraId="11FAB085" w14:textId="3FB6EC74" w:rsidR="001337F3" w:rsidRPr="00BE1F3C" w:rsidRDefault="00BE1F3C" w:rsidP="00BE1F3C">
            <w:pPr>
              <w:jc w:val="both"/>
              <w:rPr>
                <w:rFonts w:ascii="Corbel" w:hAnsi="Corbel" w:cs="Tahoma"/>
                <w:smallCaps/>
                <w:color w:val="auto"/>
                <w:sz w:val="20"/>
                <w:szCs w:val="20"/>
                <w:lang w:val="en-GB" w:eastAsia="pl-PL"/>
              </w:rPr>
            </w:pPr>
            <w:r w:rsidRPr="00BE1F3C">
              <w:rPr>
                <w:rFonts w:ascii="Corbel" w:hAnsi="Corbel"/>
                <w:sz w:val="20"/>
                <w:szCs w:val="18"/>
                <w:lang w:val="en-GB" w:eastAsia="pl-PL"/>
              </w:rPr>
              <w:t>1. GARDNER D.V., SHOBACK D.M., GREENSPAN’S BASIC &amp; CLINICAL ENDOCRINOLOGY, MCGRAW-HILL EDUCATION / MEDICAL, 2017.</w:t>
            </w:r>
          </w:p>
          <w:p w14:paraId="7EE9B097" w14:textId="7032F602" w:rsidR="00B20521" w:rsidRPr="00BE1F3C" w:rsidRDefault="00BE1F3C" w:rsidP="00BE1F3C">
            <w:pPr>
              <w:jc w:val="both"/>
              <w:rPr>
                <w:rFonts w:ascii="Corbel" w:hAnsi="Corbel"/>
                <w:sz w:val="20"/>
                <w:szCs w:val="18"/>
                <w:lang w:val="en-GB" w:eastAsia="pl-PL"/>
              </w:rPr>
            </w:pPr>
            <w:r w:rsidRPr="00BE1F3C">
              <w:rPr>
                <w:rFonts w:ascii="Corbel" w:hAnsi="Corbel"/>
                <w:sz w:val="20"/>
                <w:szCs w:val="18"/>
                <w:lang w:val="en-GB" w:eastAsia="pl-PL"/>
              </w:rPr>
              <w:t>2. WEBSTER-GANDY J (ED.), MADDEN A (ED.) &amp; HOLDSWORTH M (ED.): OXFORD HANDBOOK OF NUTRITION AND DIETETICS 3E (3RD ED.), OXFORD UNIVERSITY PRESS, 2020.</w:t>
            </w:r>
          </w:p>
          <w:p w14:paraId="00F8BA87" w14:textId="04EC32CE" w:rsidR="00BE1F3C" w:rsidRPr="00BE1F3C" w:rsidRDefault="00BE1F3C" w:rsidP="00BE1F3C">
            <w:pPr>
              <w:jc w:val="both"/>
              <w:rPr>
                <w:rFonts w:ascii="Corbel" w:hAnsi="Corbel" w:cs="Tahoma"/>
                <w:smallCaps/>
                <w:color w:val="auto"/>
                <w:sz w:val="20"/>
                <w:szCs w:val="20"/>
                <w:lang w:val="en-GB" w:eastAsia="pl-PL"/>
              </w:rPr>
            </w:pPr>
            <w:r w:rsidRPr="00BE1F3C">
              <w:rPr>
                <w:rFonts w:ascii="Corbel" w:hAnsi="Corbel" w:cs="Tahoma"/>
                <w:smallCaps/>
                <w:color w:val="auto"/>
                <w:sz w:val="20"/>
                <w:szCs w:val="20"/>
                <w:lang w:val="en-GB" w:eastAsia="pl-PL"/>
              </w:rPr>
              <w:lastRenderedPageBreak/>
              <w:t>3. TEEDE HJ, TAY CT, LAVEN JJE, ET AL. RECOMMENDATIONS FROM THE 2023 INTERNATIONAL EVIDENCE-BASED GUIDELINE FOR THE ASSESSMENT AND MANAGEMENT OF POLYCYSTIC OVARY SYNDROME. J CLIN ENDOCRINOL METAB. 2023 </w:t>
            </w:r>
          </w:p>
          <w:p w14:paraId="59EEFAA4" w14:textId="0D8603D3" w:rsidR="00BE1F3C" w:rsidRPr="00BE1F3C" w:rsidRDefault="00BE1F3C" w:rsidP="00BE1F3C">
            <w:pPr>
              <w:jc w:val="both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BE1F3C">
              <w:rPr>
                <w:rFonts w:ascii="Corbel" w:hAnsi="Corbel" w:cs="Tahoma"/>
                <w:smallCaps/>
                <w:color w:val="auto"/>
                <w:sz w:val="20"/>
                <w:szCs w:val="20"/>
                <w:lang w:val="en-GB" w:eastAsia="pl-PL"/>
              </w:rPr>
              <w:t xml:space="preserve">4. NICHOLS L. THE REAL FOOD FOR PREGNANCY: </w:t>
            </w:r>
            <w:r w:rsidRPr="00BE1F3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THE SCIENCE AND WISDOM OF OPTIMAL PRENATAL NUTRITION. 1</w:t>
            </w:r>
            <w:r w:rsidRPr="00BE1F3C">
              <w:rPr>
                <w:rFonts w:ascii="Corbel" w:hAnsi="Corbel" w:cs="Tahoma"/>
                <w:color w:val="auto"/>
                <w:sz w:val="20"/>
                <w:szCs w:val="20"/>
                <w:vertAlign w:val="superscript"/>
                <w:lang w:val="en-GB" w:eastAsia="pl-PL"/>
              </w:rPr>
              <w:t>ST</w:t>
            </w:r>
            <w:r w:rsidRPr="00BE1F3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 xml:space="preserve"> EDITION. LILY NICHOLS (SELF-PUBLISHED), 2018</w:t>
            </w:r>
          </w:p>
          <w:p w14:paraId="5B2E387E" w14:textId="77777777" w:rsidR="00AA1FCD" w:rsidRDefault="00BE1F3C" w:rsidP="00BE1F3C">
            <w:pPr>
              <w:pStyle w:val="Punktygwne"/>
              <w:jc w:val="both"/>
              <w:rPr>
                <w:rFonts w:ascii="Corbel" w:hAnsi="Corbel" w:cs="Tahoma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BE1F3C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5. NICHOLS L. HENDRICKSON-JACK L. THE REAL FOOD FOR FERTILITY. </w:t>
            </w:r>
            <w:r w:rsidRPr="00BE1F3C">
              <w:rPr>
                <w:rFonts w:ascii="Corbel" w:hAnsi="Corbel" w:cs="Tahoma"/>
                <w:b w:val="0"/>
                <w:color w:val="auto"/>
                <w:sz w:val="20"/>
                <w:szCs w:val="20"/>
                <w:lang w:val="en-GB" w:eastAsia="pl-PL"/>
              </w:rPr>
              <w:t>PREPARE YOUR BODY FOR PREGNANCY WITH PRECONCEPTION NUTRITION AND FERTILITY AWARENESS. 1</w:t>
            </w:r>
            <w:r w:rsidRPr="00BE1F3C">
              <w:rPr>
                <w:rFonts w:ascii="Corbel" w:hAnsi="Corbel" w:cs="Tahoma"/>
                <w:b w:val="0"/>
                <w:color w:val="auto"/>
                <w:sz w:val="20"/>
                <w:szCs w:val="20"/>
                <w:vertAlign w:val="superscript"/>
                <w:lang w:val="en-GB" w:eastAsia="pl-PL"/>
              </w:rPr>
              <w:t>ST</w:t>
            </w:r>
            <w:r w:rsidRPr="00BE1F3C">
              <w:rPr>
                <w:rFonts w:ascii="Corbel" w:hAnsi="Corbel" w:cs="Tahoma"/>
                <w:b w:val="0"/>
                <w:color w:val="auto"/>
                <w:sz w:val="20"/>
                <w:szCs w:val="20"/>
                <w:lang w:val="en-GB" w:eastAsia="pl-PL"/>
              </w:rPr>
              <w:t xml:space="preserve"> EDITION. </w:t>
            </w:r>
            <w:r w:rsidRPr="00BE1F3C">
              <w:rPr>
                <w:rFonts w:ascii="Corbel" w:hAnsi="Corbel" w:cs="Tahoma"/>
                <w:b w:val="0"/>
                <w:color w:val="auto"/>
                <w:sz w:val="20"/>
                <w:szCs w:val="20"/>
                <w:lang w:eastAsia="pl-PL"/>
              </w:rPr>
              <w:t xml:space="preserve">LILY NICHOLS (SELF-PUBLISHED), </w:t>
            </w:r>
            <w:r w:rsidRPr="00BE1F3C">
              <w:rPr>
                <w:rFonts w:ascii="Corbel" w:hAnsi="Corbel" w:cs="Tahoma"/>
                <w:b w:val="0"/>
                <w:color w:val="auto"/>
                <w:sz w:val="20"/>
                <w:szCs w:val="20"/>
                <w:lang w:val="en-GB" w:eastAsia="pl-PL"/>
              </w:rPr>
              <w:t>2024</w:t>
            </w:r>
          </w:p>
          <w:p w14:paraId="4947B7B6" w14:textId="39B5DA1F" w:rsidR="00BE1F3C" w:rsidRPr="00BE1F3C" w:rsidRDefault="00BE1F3C" w:rsidP="00BE1F3C">
            <w:pPr>
              <w:pStyle w:val="Punktygwne"/>
              <w:jc w:val="both"/>
              <w:rPr>
                <w:rFonts w:ascii="Corbel" w:hAnsi="Corbel" w:cs="Tahoma"/>
                <w:bCs/>
                <w:color w:val="auto"/>
                <w:szCs w:val="24"/>
                <w:lang w:val="en-GB" w:eastAsia="pl-PL"/>
              </w:rPr>
            </w:pPr>
          </w:p>
        </w:tc>
      </w:tr>
      <w:tr w:rsidR="00AA1FCD" w:rsidRPr="003A238E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311A2D17" w14:textId="622D4365" w:rsidR="0081371D" w:rsidRPr="004F2031" w:rsidRDefault="0081371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1371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Current scientific publications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consistent</w:t>
            </w:r>
            <w:r w:rsidRPr="0081371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with evidence-based medicine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1596D26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3C2A" w14:textId="77777777" w:rsidR="0086229B" w:rsidRDefault="0086229B">
      <w:pPr>
        <w:spacing w:after="0" w:line="240" w:lineRule="auto"/>
      </w:pPr>
      <w:r>
        <w:separator/>
      </w:r>
    </w:p>
  </w:endnote>
  <w:endnote w:type="continuationSeparator" w:id="0">
    <w:p w14:paraId="170C6C63" w14:textId="77777777" w:rsidR="0086229B" w:rsidRDefault="00862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4FBC" w14:textId="77777777" w:rsidR="0086229B" w:rsidRDefault="0086229B">
      <w:pPr>
        <w:spacing w:after="0" w:line="240" w:lineRule="auto"/>
      </w:pPr>
      <w:r>
        <w:separator/>
      </w:r>
    </w:p>
  </w:footnote>
  <w:footnote w:type="continuationSeparator" w:id="0">
    <w:p w14:paraId="30DABFC1" w14:textId="77777777" w:rsidR="0086229B" w:rsidRDefault="00862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0"/>
  </w:num>
  <w:num w:numId="2" w16cid:durableId="2101169996">
    <w:abstractNumId w:val="1"/>
  </w:num>
  <w:num w:numId="3" w16cid:durableId="1792236885">
    <w:abstractNumId w:val="5"/>
  </w:num>
  <w:num w:numId="4" w16cid:durableId="416442250">
    <w:abstractNumId w:val="4"/>
  </w:num>
  <w:num w:numId="5" w16cid:durableId="1935548200">
    <w:abstractNumId w:val="3"/>
  </w:num>
  <w:num w:numId="6" w16cid:durableId="130878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2E3B"/>
    <w:rsid w:val="00032423"/>
    <w:rsid w:val="000E7BC7"/>
    <w:rsid w:val="00104F3E"/>
    <w:rsid w:val="001337F3"/>
    <w:rsid w:val="001A3217"/>
    <w:rsid w:val="001C26A0"/>
    <w:rsid w:val="001C28E3"/>
    <w:rsid w:val="001C3AB5"/>
    <w:rsid w:val="0028211C"/>
    <w:rsid w:val="002A2306"/>
    <w:rsid w:val="002D7484"/>
    <w:rsid w:val="00300BF3"/>
    <w:rsid w:val="003435E3"/>
    <w:rsid w:val="003730E0"/>
    <w:rsid w:val="003A238E"/>
    <w:rsid w:val="003C2140"/>
    <w:rsid w:val="003E7104"/>
    <w:rsid w:val="0040702E"/>
    <w:rsid w:val="00451D41"/>
    <w:rsid w:val="00456A01"/>
    <w:rsid w:val="004857EF"/>
    <w:rsid w:val="004959EF"/>
    <w:rsid w:val="004F2031"/>
    <w:rsid w:val="004F37E7"/>
    <w:rsid w:val="005014B4"/>
    <w:rsid w:val="005B2C9F"/>
    <w:rsid w:val="005E7A1D"/>
    <w:rsid w:val="005F3199"/>
    <w:rsid w:val="005F6076"/>
    <w:rsid w:val="007104FE"/>
    <w:rsid w:val="0075119D"/>
    <w:rsid w:val="00805AF9"/>
    <w:rsid w:val="0081371D"/>
    <w:rsid w:val="00852EB5"/>
    <w:rsid w:val="0086229B"/>
    <w:rsid w:val="008F5216"/>
    <w:rsid w:val="009064DA"/>
    <w:rsid w:val="009562F7"/>
    <w:rsid w:val="009920D1"/>
    <w:rsid w:val="009F7732"/>
    <w:rsid w:val="00A03D58"/>
    <w:rsid w:val="00AA1FCD"/>
    <w:rsid w:val="00B14D21"/>
    <w:rsid w:val="00B14E66"/>
    <w:rsid w:val="00B20521"/>
    <w:rsid w:val="00B36AC2"/>
    <w:rsid w:val="00B40729"/>
    <w:rsid w:val="00BE1F3C"/>
    <w:rsid w:val="00C3766C"/>
    <w:rsid w:val="00C55451"/>
    <w:rsid w:val="00C913B7"/>
    <w:rsid w:val="00D63DDA"/>
    <w:rsid w:val="00E154AF"/>
    <w:rsid w:val="00EA249D"/>
    <w:rsid w:val="00EA78DB"/>
    <w:rsid w:val="00EB0D3B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1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0521"/>
    <w:pPr>
      <w:autoSpaceDE w:val="0"/>
      <w:autoSpaceDN w:val="0"/>
      <w:adjustRightInd w:val="0"/>
    </w:pPr>
    <w:rPr>
      <w:rFonts w:ascii="Corbel" w:hAnsi="Corbel" w:cs="Corbel"/>
      <w:color w:val="000000"/>
    </w:rPr>
  </w:style>
  <w:style w:type="character" w:styleId="Hipercze">
    <w:name w:val="Hyperlink"/>
    <w:basedOn w:val="Domylnaczcionkaakapitu"/>
    <w:uiPriority w:val="99"/>
    <w:unhideWhenUsed/>
    <w:rsid w:val="001337F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E1F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1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954</Words>
  <Characters>5730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15</cp:revision>
  <cp:lastPrinted>2024-01-10T10:21:00Z</cp:lastPrinted>
  <dcterms:created xsi:type="dcterms:W3CDTF">2024-01-10T10:24:00Z</dcterms:created>
  <dcterms:modified xsi:type="dcterms:W3CDTF">2025-02-20T12:52:00Z</dcterms:modified>
  <dc:language>pl-PL</dc:language>
</cp:coreProperties>
</file>