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7F7C1119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880E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E75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880E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880E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BE75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D07B161" w14:textId="0963D68B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880E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E75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880E9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E757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880E98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18592CBC" w:rsidR="00AA1FCD" w:rsidRPr="00880E98" w:rsidRDefault="00880E98" w:rsidP="00880E98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9F6C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Nutrition, Aging and Health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E757A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3015ECC8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880E98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BE757A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32A547F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AA1FCD" w:rsidRPr="00BE757A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3F699921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Food Technology 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nd Human Nutrition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343D0D26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second-degree studies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7B6A4AA2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880E98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158A0D2C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BE757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Pr="00AB3D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BE757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7C6B713E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</w:t>
            </w: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ecture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2C9A2887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47D86C50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. Katarzyna Rolf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4D54E0E" w:rsidR="00AA1FCD" w:rsidRPr="004F2031" w:rsidRDefault="00880E9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inż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. Katarzyna Rolf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40079B9D" w:rsidR="00FA1C61" w:rsidRPr="004F2031" w:rsidRDefault="00880E9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588CB877" w:rsidR="00FA1C61" w:rsidRPr="004F2031" w:rsidRDefault="00BE757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bookmarkStart w:id="0" w:name="_GoBack"/>
      <w:bookmarkEnd w:id="0"/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1349C56" w14:textId="77777777" w:rsidR="00880E98" w:rsidRPr="004F2031" w:rsidRDefault="00880E98" w:rsidP="00880E9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D7CD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4BD2185" w:rsidR="00AA1FCD" w:rsidRPr="004F2031" w:rsidRDefault="00880E98" w:rsidP="00880E9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53C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Human nutrition</w:t>
            </w:r>
          </w:p>
        </w:tc>
      </w:tr>
    </w:tbl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880E98" w:rsidRPr="00BE757A" w14:paraId="36B0ABAB" w14:textId="77777777" w:rsidTr="00880E9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DB2D8" w14:textId="77777777" w:rsidR="00880E98" w:rsidRPr="004F2031" w:rsidRDefault="00880E98" w:rsidP="009A4D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430201" w14:textId="77777777" w:rsidR="00880E98" w:rsidRPr="00B171A4" w:rsidRDefault="00880E98" w:rsidP="009A4D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of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</w:t>
            </w:r>
            <w:r w:rsidRPr="00B171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he relationships among nutrition, aging and health including the current and projected aged European population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880E98" w:rsidRPr="00BE757A" w14:paraId="6220B747" w14:textId="77777777" w:rsidTr="00880E9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687A7" w14:textId="77777777" w:rsidR="00880E98" w:rsidRPr="004F2031" w:rsidRDefault="00880E98" w:rsidP="009A4D2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EE4EA" w14:textId="77777777" w:rsidR="00880E98" w:rsidRPr="004F2031" w:rsidRDefault="00880E98" w:rsidP="009A4D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Description of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</w:t>
            </w:r>
            <w:r w:rsidRPr="00B171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he </w:t>
            </w:r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nutritional needs, limitations (economic, physical, </w:t>
            </w:r>
            <w:proofErr w:type="spellStart"/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behavioral</w:t>
            </w:r>
            <w:proofErr w:type="spellEnd"/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, etc) to meeting those needs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880E98" w:rsidRPr="00BE757A" w14:paraId="01A9D95D" w14:textId="77777777" w:rsidTr="00880E9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240991" w14:textId="77777777" w:rsidR="00880E98" w:rsidRPr="004F2031" w:rsidRDefault="00880E98" w:rsidP="009A4D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FD34C" w14:textId="77777777" w:rsidR="00880E98" w:rsidRPr="004F2031" w:rsidRDefault="00880E98" w:rsidP="009A4D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30526C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Description of</w:t>
            </w:r>
            <w:r w:rsidRPr="008124ED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aged disease prevention by diet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. 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E757A" w14:paraId="0827CF6D" w14:textId="77777777" w:rsidTr="00880E9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80E98" w:rsidRPr="004F2031" w14:paraId="0506617D" w14:textId="77777777" w:rsidTr="00880E9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2C35BE6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BA97C91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be </w:t>
            </w:r>
            <w:r w:rsidRPr="009C5A2F">
              <w:rPr>
                <w:rFonts w:ascii="Corbel" w:hAnsi="Corbel" w:cs="Tahoma"/>
                <w:b w:val="0"/>
                <w:smallCaps w:val="0"/>
                <w:color w:val="auto"/>
                <w:lang w:val="en-GB"/>
              </w:rPr>
              <w:t>known trends related to human nutrition, the principles of rational nutrition in a holistic approach and understands the operation of selected diets, especially in the context of aging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401CA3D0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</w:tc>
      </w:tr>
      <w:tr w:rsidR="00880E98" w:rsidRPr="004F2031" w14:paraId="799DB30C" w14:textId="77777777" w:rsidTr="00880E9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19663BB5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020D471B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will be able to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</w:t>
            </w: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escribe and apply methods of nutrition screening and assessment for older adults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26D7AB3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K_U08</w:t>
            </w:r>
          </w:p>
        </w:tc>
      </w:tr>
      <w:tr w:rsidR="00880E98" w:rsidRPr="004F2031" w14:paraId="4EEA8687" w14:textId="77777777" w:rsidTr="00880E9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4D08FF18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D2F12EF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C5A2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will be able to assess which products available on the market should be used in everyday nutrition, depending on the needs of the body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41F64526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K_K05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31DAB983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80E98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</w:tc>
      </w:tr>
      <w:tr w:rsidR="00880E98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3230DB5" w:rsidR="00880E98" w:rsidRPr="004F2031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</w:t>
            </w:r>
            <w:r w:rsidRPr="009D6254">
              <w:rPr>
                <w:rFonts w:ascii="Corbel" w:hAnsi="Corbel" w:cs="Tahoma"/>
                <w:color w:val="auto"/>
                <w:szCs w:val="24"/>
                <w:lang w:val="en-GB"/>
              </w:rPr>
              <w:t>hysiology of aging</w:t>
            </w:r>
          </w:p>
        </w:tc>
      </w:tr>
      <w:tr w:rsidR="00880E98" w:rsidRPr="00BE757A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22D1D12A" w:rsidR="00880E98" w:rsidRPr="004F2031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of elderly, nutrients and energy requirement </w:t>
            </w:r>
          </w:p>
        </w:tc>
      </w:tr>
      <w:tr w:rsidR="00880E98" w:rsidRPr="00BE757A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66520E33" w:rsidR="00880E98" w:rsidRPr="004F2031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C95C16">
              <w:rPr>
                <w:rFonts w:ascii="Corbel" w:hAnsi="Corbel" w:cs="Tahoma"/>
                <w:color w:val="auto"/>
                <w:szCs w:val="24"/>
                <w:lang w:val="en-GB"/>
              </w:rPr>
              <w:t>nti-inflammatory components of diet</w:t>
            </w:r>
          </w:p>
        </w:tc>
      </w:tr>
      <w:tr w:rsidR="00880E98" w:rsidRPr="00BE757A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5AFAB530" w:rsidR="00880E98" w:rsidRPr="004F2031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</w:t>
            </w:r>
            <w:r w:rsidRPr="009D6254">
              <w:rPr>
                <w:rFonts w:ascii="Corbel" w:hAnsi="Corbel" w:cs="Tahoma"/>
                <w:color w:val="auto"/>
                <w:szCs w:val="24"/>
                <w:lang w:val="en-US"/>
              </w:rPr>
              <w:t>hysical and mental activity of the elderly</w:t>
            </w:r>
          </w:p>
        </w:tc>
      </w:tr>
      <w:tr w:rsidR="00880E98" w:rsidRPr="004F2031" w14:paraId="3C1FE4E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444CA" w14:textId="2E9D64EF" w:rsidR="00880E98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</w:t>
            </w:r>
            <w:r w:rsidRPr="00C95C16">
              <w:rPr>
                <w:rFonts w:ascii="Corbel" w:hAnsi="Corbel" w:cs="Tahoma"/>
                <w:color w:val="auto"/>
                <w:szCs w:val="24"/>
                <w:lang w:val="en-GB"/>
              </w:rPr>
              <w:t>ssessment of nutritional status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880E98" w:rsidRPr="004F2031" w14:paraId="7F7E8A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C3D76" w14:textId="3494E210" w:rsidR="00880E98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Malnutrition</w:t>
            </w:r>
          </w:p>
        </w:tc>
      </w:tr>
      <w:tr w:rsidR="00880E98" w:rsidRPr="004F2031" w14:paraId="1D11A2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621F7" w14:textId="488F05B5" w:rsidR="00880E98" w:rsidRDefault="00880E98" w:rsidP="00880E98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Frailty syndrome and sarcopenia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AE18725" w14:textId="77777777" w:rsidR="00880E98" w:rsidRPr="00FC659E" w:rsidRDefault="00880E98" w:rsidP="00880E98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FC659E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Lecture: a lecture supported by a multimedia presentation</w:t>
      </w:r>
      <w:r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, </w:t>
      </w:r>
      <w:r w:rsidRPr="00F0694C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group work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880E9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80E98" w:rsidRPr="004F2031" w14:paraId="628EAAB9" w14:textId="77777777" w:rsidTr="00880E9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32D7CBFA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1BB8F2D1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2147E9DC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  <w:tr w:rsidR="00880E98" w:rsidRPr="004F2031" w14:paraId="46FCA204" w14:textId="77777777" w:rsidTr="00880E9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538CF3D6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173319B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014DA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individual work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1B42F17C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  <w:tr w:rsidR="00880E98" w:rsidRPr="004F2031" w14:paraId="54E17821" w14:textId="77777777" w:rsidTr="00880E9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EAF09" w14:textId="45746F7D" w:rsidR="00880E98" w:rsidRPr="004F2031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DB0AD" w14:textId="1EE5EC73" w:rsidR="00880E98" w:rsidRPr="00FC659E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written exam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014DA9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individual work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FD6D5" w14:textId="75ACA9AD" w:rsidR="00880E98" w:rsidRDefault="00880E98" w:rsidP="00880E98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l</w:t>
            </w: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ectures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E757A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AE4C7" w14:textId="77777777" w:rsidR="00880E98" w:rsidRPr="00A76FCC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grade of the subject is determined by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total points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of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exam. </w:t>
            </w:r>
          </w:p>
          <w:p w14:paraId="0457793E" w14:textId="77777777" w:rsidR="00880E98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assing &gt; 50% of the maximum number of points: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 w:rsidRPr="00A70A2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satisfactory 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plus 6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plus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8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%, very good&gt; 90%.</w:t>
            </w:r>
          </w:p>
          <w:p w14:paraId="3171E670" w14:textId="1651D7CF" w:rsidR="00AA1FCD" w:rsidRPr="004F2031" w:rsidRDefault="00880E98" w:rsidP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A76F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Requirement is to reach all learning outcomes.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507467B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880E98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76C2B6A4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880E98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5297B1C9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64829BE8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880E98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1A3F19F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0979082D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33B6EA9" w:rsidR="00AA1FCD" w:rsidRPr="004F2031" w:rsidRDefault="00880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880E98" w:rsidRPr="006C0278" w14:paraId="1426CAD8" w14:textId="77777777" w:rsidTr="009A4D28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2D7415" w14:textId="77777777" w:rsidR="00880E98" w:rsidRDefault="00880E98" w:rsidP="009A4D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FCB2F76" w14:textId="77777777" w:rsidR="00880E98" w:rsidRDefault="00880E98" w:rsidP="009A4D28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ONZ. World Population Aging 2017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Department of Economic and Social Affairs Population Division, United Unions: New York, NY, USA, 2017; ISBN 978-92-1-151551-0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</w:p>
          <w:p w14:paraId="00E86F94" w14:textId="77777777" w:rsidR="00880E98" w:rsidRDefault="00880E98" w:rsidP="009A4D28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lastRenderedPageBreak/>
              <w:t xml:space="preserve">Eurostat: Ageing Europe,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ooking at the lives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of older people in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EU – 2020 edition.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Publications Office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Luxembourg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2019,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ISBN 978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92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76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09814</w:t>
            </w:r>
            <w:r w:rsidRPr="00147AD4">
              <w:rPr>
                <w:rFonts w:ascii="Cambria Math" w:hAnsi="Cambria Math" w:cs="Cambria Math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‑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0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.</w:t>
            </w:r>
          </w:p>
          <w:p w14:paraId="700D2C99" w14:textId="77777777" w:rsidR="00880E98" w:rsidRPr="00937111" w:rsidRDefault="00880E98" w:rsidP="009A4D28">
            <w:pPr>
              <w:pStyle w:val="Punktygwne"/>
              <w:numPr>
                <w:ilvl w:val="3"/>
                <w:numId w:val="2"/>
              </w:numPr>
              <w:spacing w:after="0"/>
              <w:ind w:left="391" w:hanging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Eurostat: Active ageing and solidarity between generations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-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A statistical portrait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–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2012 edition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.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Publications Office of the European Union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</w:t>
            </w:r>
            <w:r w:rsidRPr="00147AD4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Luxembourg</w:t>
            </w:r>
            <w:r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2011. </w:t>
            </w:r>
            <w:r w:rsidRPr="00937111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ISBN 978-92-79-21507-0</w:t>
            </w:r>
          </w:p>
          <w:p w14:paraId="4474CD63" w14:textId="77777777" w:rsidR="00880E98" w:rsidRPr="003373E2" w:rsidRDefault="00880E98" w:rsidP="009A4D28">
            <w:pPr>
              <w:pStyle w:val="Punktygwne"/>
              <w:numPr>
                <w:ilvl w:val="3"/>
                <w:numId w:val="2"/>
              </w:numPr>
              <w:spacing w:after="0"/>
              <w:ind w:left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Noel, M.; Reddy, M. Nutrition and aging. Prim Care 2005, 32, 659–669.</w:t>
            </w:r>
          </w:p>
          <w:p w14:paraId="4FF8323F" w14:textId="77777777" w:rsidR="00880E98" w:rsidRPr="00937111" w:rsidRDefault="00880E98" w:rsidP="009A4D28">
            <w:pPr>
              <w:pStyle w:val="Punktygwne"/>
              <w:numPr>
                <w:ilvl w:val="3"/>
                <w:numId w:val="2"/>
              </w:numPr>
              <w:spacing w:after="0"/>
              <w:ind w:left="391"/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</w:pPr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Remond, D.; Shahar, D.R.; Gille, D.; Pinto, P.;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Kachal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J.; Peyron, M.-A.; dos Santos,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C.N.;Walther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, B.; Bordoni, A.; Dupont, D.; et al. Understanding the gastrointestinal tract of the elderly to develop dietary solutions that prevent malnutrition. </w:t>
            </w:r>
            <w:proofErr w:type="spellStart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>Oncotarget</w:t>
            </w:r>
            <w:proofErr w:type="spellEnd"/>
            <w:r w:rsidRPr="003373E2">
              <w:rPr>
                <w:rFonts w:ascii="Corbel" w:hAnsi="Corbel" w:cs="Tahoma"/>
                <w:b w:val="0"/>
                <w:smallCaps w:val="0"/>
                <w:color w:val="auto"/>
                <w:sz w:val="20"/>
                <w:szCs w:val="20"/>
                <w:lang w:val="en-GB" w:eastAsia="pl-PL"/>
              </w:rPr>
              <w:t xml:space="preserve"> 2015, 6, 13858–13898.</w:t>
            </w:r>
          </w:p>
          <w:p w14:paraId="7FAC6836" w14:textId="77777777" w:rsidR="00880E98" w:rsidRPr="004F2031" w:rsidRDefault="00880E98" w:rsidP="009A4D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880E98" w:rsidRPr="00EB472D" w14:paraId="03479B6A" w14:textId="77777777" w:rsidTr="009A4D28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407140" w14:textId="77777777" w:rsidR="00880E98" w:rsidRDefault="00880E98" w:rsidP="009A4D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14:paraId="5645613E" w14:textId="77777777" w:rsidR="00880E98" w:rsidRPr="00EB472D" w:rsidRDefault="00880E98" w:rsidP="00880E98">
            <w:pPr>
              <w:pStyle w:val="Punktygwne"/>
              <w:numPr>
                <w:ilvl w:val="6"/>
                <w:numId w:val="7"/>
              </w:numPr>
              <w:spacing w:after="0"/>
              <w:ind w:left="391"/>
              <w:rPr>
                <w:rFonts w:ascii="Corbel" w:eastAsia="SimSun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EB472D">
              <w:rPr>
                <w:rFonts w:ascii="Corbel" w:eastAsia="SimSun" w:hAnsi="Corbel" w:cs="AdvPTimesB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BarberiL</w:t>
            </w:r>
            <w:proofErr w:type="spellEnd"/>
            <w:r w:rsidRPr="00EB472D">
              <w:rPr>
                <w:rFonts w:ascii="Corbel" w:eastAsia="SimSun" w:hAnsi="Corbel" w:cs="AdvPTimesB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., Scicchitano B.M., De Rossi M. et al. Age-dependent alteration in muscle regeneration: the critical role of tissue niche. </w:t>
            </w:r>
            <w:r w:rsidRPr="00EB472D">
              <w:rPr>
                <w:rFonts w:ascii="Corbel" w:eastAsia="SimSun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Biogerontology 2013, 14, 273-292.</w:t>
            </w:r>
          </w:p>
          <w:p w14:paraId="3EB05BD1" w14:textId="77777777" w:rsidR="00880E98" w:rsidRDefault="00880E98" w:rsidP="00880E98">
            <w:pPr>
              <w:pStyle w:val="Punktygwne"/>
              <w:numPr>
                <w:ilvl w:val="6"/>
                <w:numId w:val="7"/>
              </w:numPr>
              <w:spacing w:after="0"/>
              <w:ind w:left="391"/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</w:pPr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Arabi A.,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Baddoura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R., El-Rassi R., El-Hajj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Fuleihan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G. PTH level but not 25 (OH) vitamin D level predicts bone loss rates in the elderly. </w:t>
            </w:r>
            <w:proofErr w:type="spellStart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Osteoporos</w:t>
            </w:r>
            <w:proofErr w:type="spellEnd"/>
            <w:r w:rsidRPr="00EB472D"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 xml:space="preserve"> Int, 2012, 23 (3), 971-980</w:t>
            </w:r>
            <w:r>
              <w:rPr>
                <w:rFonts w:ascii="Corbel" w:hAnsi="Corbel" w:cs="AdvPTimes"/>
                <w:b w:val="0"/>
                <w:bCs/>
                <w:smallCaps w:val="0"/>
                <w:color w:val="auto"/>
                <w:sz w:val="20"/>
                <w:szCs w:val="20"/>
                <w:lang w:val="en-US"/>
              </w:rPr>
              <w:t>.</w:t>
            </w:r>
          </w:p>
          <w:p w14:paraId="0EBF4808" w14:textId="77777777" w:rsidR="00880E98" w:rsidRPr="00430C41" w:rsidRDefault="00880E98" w:rsidP="00880E98">
            <w:pPr>
              <w:pStyle w:val="Nagwek1"/>
              <w:numPr>
                <w:ilvl w:val="6"/>
                <w:numId w:val="7"/>
              </w:numPr>
              <w:tabs>
                <w:tab w:val="num" w:pos="360"/>
              </w:tabs>
              <w:spacing w:before="240" w:beforeAutospacing="0"/>
              <w:ind w:left="391" w:firstLine="0"/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430C41">
              <w:rPr>
                <w:rFonts w:ascii="Corbel" w:hAnsi="Corbel" w:cs="AdvPTimes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Chen X., Mao G., Leng S.X. </w:t>
            </w:r>
            <w:r w:rsidRPr="00430C41"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Frailty syndrome: an overview. </w:t>
            </w:r>
            <w:hyperlink r:id="rId8" w:history="1">
              <w:r w:rsidRPr="00C76EBD">
                <w:rPr>
                  <w:rStyle w:val="Hipercze"/>
                  <w:rFonts w:ascii="Corbel" w:hAnsi="Corbel"/>
                  <w:b w:val="0"/>
                  <w:bCs w:val="0"/>
                  <w:color w:val="000000" w:themeColor="text1"/>
                  <w:sz w:val="20"/>
                  <w:szCs w:val="20"/>
                  <w:lang w:val="en-US"/>
                </w:rPr>
                <w:t xml:space="preserve">Clin </w:t>
              </w:r>
              <w:proofErr w:type="spellStart"/>
              <w:r w:rsidRPr="00C76EBD">
                <w:rPr>
                  <w:rStyle w:val="Hipercze"/>
                  <w:rFonts w:ascii="Corbel" w:hAnsi="Corbel"/>
                  <w:b w:val="0"/>
                  <w:bCs w:val="0"/>
                  <w:color w:val="000000" w:themeColor="text1"/>
                  <w:sz w:val="20"/>
                  <w:szCs w:val="20"/>
                  <w:lang w:val="en-US"/>
                </w:rPr>
                <w:t>Interv</w:t>
              </w:r>
              <w:proofErr w:type="spellEnd"/>
              <w:r w:rsidRPr="00C76EBD">
                <w:rPr>
                  <w:rStyle w:val="Hipercze"/>
                  <w:rFonts w:ascii="Corbel" w:hAnsi="Corbel"/>
                  <w:b w:val="0"/>
                  <w:bCs w:val="0"/>
                  <w:color w:val="000000" w:themeColor="text1"/>
                  <w:sz w:val="20"/>
                  <w:szCs w:val="20"/>
                  <w:lang w:val="en-US"/>
                </w:rPr>
                <w:t xml:space="preserve"> Aging</w:t>
              </w:r>
            </w:hyperlink>
            <w:r w:rsidRPr="00C76EBD">
              <w:rPr>
                <w:rFonts w:ascii="Corbel" w:hAnsi="Corbe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2014, 9, 433-441.</w:t>
            </w:r>
          </w:p>
          <w:p w14:paraId="5B3B0BFC" w14:textId="77777777" w:rsidR="00880E98" w:rsidRPr="004F2031" w:rsidRDefault="00880E98" w:rsidP="009A4D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936AB" w14:textId="77777777" w:rsidR="00C54C72" w:rsidRDefault="00C54C72">
      <w:pPr>
        <w:spacing w:after="0" w:line="240" w:lineRule="auto"/>
      </w:pPr>
      <w:r>
        <w:separator/>
      </w:r>
    </w:p>
  </w:endnote>
  <w:endnote w:type="continuationSeparator" w:id="0">
    <w:p w14:paraId="44C509FC" w14:textId="77777777" w:rsidR="00C54C72" w:rsidRDefault="00C5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P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E77A2" w14:textId="77777777" w:rsidR="00C54C72" w:rsidRDefault="00C54C72">
      <w:pPr>
        <w:spacing w:after="0" w:line="240" w:lineRule="auto"/>
      </w:pPr>
      <w:r>
        <w:separator/>
      </w:r>
    </w:p>
  </w:footnote>
  <w:footnote w:type="continuationSeparator" w:id="0">
    <w:p w14:paraId="31928E75" w14:textId="77777777" w:rsidR="00C54C72" w:rsidRDefault="00C5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AEE0551"/>
    <w:multiLevelType w:val="hybridMultilevel"/>
    <w:tmpl w:val="5322D4AE"/>
    <w:lvl w:ilvl="0" w:tplc="8A22A35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C26A0"/>
    <w:rsid w:val="001C3AB5"/>
    <w:rsid w:val="0028211C"/>
    <w:rsid w:val="002D7484"/>
    <w:rsid w:val="00300BF3"/>
    <w:rsid w:val="003730E0"/>
    <w:rsid w:val="003E7104"/>
    <w:rsid w:val="0040702E"/>
    <w:rsid w:val="004F2031"/>
    <w:rsid w:val="005A3556"/>
    <w:rsid w:val="005E7A1D"/>
    <w:rsid w:val="005F3199"/>
    <w:rsid w:val="007104FE"/>
    <w:rsid w:val="0075119D"/>
    <w:rsid w:val="00852EB5"/>
    <w:rsid w:val="00880E98"/>
    <w:rsid w:val="008F5216"/>
    <w:rsid w:val="009920D1"/>
    <w:rsid w:val="009F7732"/>
    <w:rsid w:val="00A03D58"/>
    <w:rsid w:val="00AA1FCD"/>
    <w:rsid w:val="00B14E66"/>
    <w:rsid w:val="00BE757A"/>
    <w:rsid w:val="00C54C72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880E98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0E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E9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80E98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396402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23451-8364-4656-B477-AD4E81B8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5089</Characters>
  <Application>Microsoft Office Word</Application>
  <DocSecurity>0</DocSecurity>
  <Lines>254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Agata Pawłowska</cp:lastModifiedBy>
  <cp:revision>3</cp:revision>
  <cp:lastPrinted>2024-01-10T10:21:00Z</cp:lastPrinted>
  <dcterms:created xsi:type="dcterms:W3CDTF">2025-02-23T17:29:00Z</dcterms:created>
  <dcterms:modified xsi:type="dcterms:W3CDTF">2025-03-05T16:22:00Z</dcterms:modified>
  <dc:language>pl-PL</dc:language>
</cp:coreProperties>
</file>