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04AEAF15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0087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0087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F4620F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2C99AC6D" w:rsidR="00AA1FCD" w:rsidRPr="00FD0882" w:rsidRDefault="0036275B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Plant-based food analytics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00877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6A41CAE3" w:rsidR="00AA1FCD" w:rsidRPr="00FD0882" w:rsidRDefault="00900877" w:rsidP="00900877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008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CB1A0E" w:rsidRPr="00900877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CB1A0E" w:rsidRPr="00900877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3AFFE4B0" w:rsidR="00CB1A0E" w:rsidRPr="00FD0882" w:rsidRDefault="0036275B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proofErr w:type="spellStart"/>
            <w:r w:rsidRPr="003627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ummer</w:t>
            </w:r>
            <w:proofErr w:type="spellEnd"/>
            <w:r w:rsidR="00CB1A0E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60617A6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2EE010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r w:rsidR="003202B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/Italian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51226999" w:rsidR="00AA1FCD" w:rsidRPr="00FD0882" w:rsidRDefault="0036275B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3202B4" w:rsidRDefault="002D7484" w:rsidP="00FD088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3202B4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08730F50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3137E51E" w14:textId="77777777" w:rsidR="003202B4" w:rsidRDefault="003202B4" w:rsidP="003202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0" w:name="_Hlk158646436"/>
      <w:bookmarkStart w:id="1" w:name="_Hlk158646152"/>
    </w:p>
    <w:p w14:paraId="485D70A3" w14:textId="77777777" w:rsidR="003202B4" w:rsidRPr="004F2031" w:rsidRDefault="003202B4" w:rsidP="003202B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0"/>
          <w:lang w:val="en-GB" w:eastAsia="pl-PL"/>
        </w:rPr>
        <w:t>- pass with a grade</w:t>
      </w:r>
      <w:bookmarkEnd w:id="0"/>
    </w:p>
    <w:bookmarkEnd w:id="1"/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00877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00877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7F00B49" w:rsidR="00AA1FCD" w:rsidRPr="00FD0882" w:rsidRDefault="0036275B" w:rsidP="003627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Presentation of physical and chemical methods of analysis of plant raw materials and food of plant origin.</w:t>
            </w:r>
          </w:p>
        </w:tc>
      </w:tr>
      <w:tr w:rsidR="00913BA3" w:rsidRPr="00900877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57546D46" w:rsidR="00913BA3" w:rsidRPr="00CB1A0E" w:rsidRDefault="0036275B" w:rsidP="0036275B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Presentation of specialized analytical equipment used for the analysis of raw materials </w:t>
            </w:r>
            <w:r w:rsid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</w:t>
            </w: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plant-based foods.</w:t>
            </w:r>
          </w:p>
        </w:tc>
      </w:tr>
      <w:tr w:rsidR="00913BA3" w:rsidRPr="00900877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8635CEC" w:rsidR="00913BA3" w:rsidRPr="00913BA3" w:rsidRDefault="0036275B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Familiarizing students with the principles of performing qualitative and quantitative analysis </w:t>
            </w:r>
            <w:r w:rsid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36275B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raw materials and food of plant origin.</w:t>
            </w:r>
          </w:p>
        </w:tc>
      </w:tr>
      <w:tr w:rsidR="00B11D42" w:rsidRPr="00900877" w14:paraId="08274BB8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41E25" w14:textId="679A77D0" w:rsidR="00B11D42" w:rsidRDefault="00B11D42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52EF5" w14:textId="5C622AB1" w:rsidR="00B11D42" w:rsidRPr="0036275B" w:rsidRDefault="00B11D42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Presentation of the principles of proper selection of the analytical method for individual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types of raw materials and the qualitative and quantitative parameters analysed.</w:t>
            </w:r>
          </w:p>
        </w:tc>
      </w:tr>
      <w:tr w:rsidR="00B11D42" w:rsidRPr="00900877" w14:paraId="228627E5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2BB01" w14:textId="294E191B" w:rsidR="00B11D42" w:rsidRDefault="00F95F71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BCBC07" w14:textId="05BEDCB7" w:rsidR="00B11D42" w:rsidRPr="0036275B" w:rsidRDefault="00B11D42" w:rsidP="00B11D42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Acquisition of practical skills in quantitative and qualitative analysis </w:t>
            </w:r>
            <w:r w:rsidR="00F95F7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B11D4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raw materials and food of plant origin</w:t>
            </w:r>
            <w:r w:rsidR="00F95F7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900877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4E7CB8D5" w:rsidR="00267ED6" w:rsidRPr="001D363F" w:rsidRDefault="008578C2" w:rsidP="00F95F71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F95F71" w:rsidRPr="00F95F71">
              <w:rPr>
                <w:rFonts w:ascii="Corbel" w:hAnsi="Corbel"/>
                <w:sz w:val="24"/>
              </w:rPr>
              <w:t xml:space="preserve">knows and understands the basics of </w:t>
            </w:r>
            <w:proofErr w:type="spellStart"/>
            <w:r w:rsidR="00F95F71" w:rsidRPr="00F95F71">
              <w:rPr>
                <w:rFonts w:ascii="Corbel" w:hAnsi="Corbel"/>
                <w:sz w:val="24"/>
              </w:rPr>
              <w:t>physico</w:t>
            </w:r>
            <w:proofErr w:type="spellEnd"/>
            <w:r w:rsidR="00F95F71" w:rsidRPr="00F95F71">
              <w:rPr>
                <w:rFonts w:ascii="Corbel" w:hAnsi="Corbel"/>
                <w:sz w:val="24"/>
              </w:rPr>
              <w:t>-chemical phenomena used in raw material and plant-based food analysis</w:t>
            </w:r>
            <w:r w:rsidR="00F95F71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5B6341F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2608DC">
              <w:rPr>
                <w:rFonts w:ascii="Corbel" w:hAnsi="Corbel"/>
                <w:b w:val="0"/>
                <w:bCs/>
                <w:spacing w:val="-2"/>
                <w:w w:val="91"/>
              </w:rPr>
              <w:t>1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3E063DE4" w:rsidR="00AD667D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 xml:space="preserve">nows </w:t>
            </w:r>
            <w:r w:rsidR="00F95F71" w:rsidRPr="00F95F71">
              <w:rPr>
                <w:rFonts w:ascii="Corbel" w:hAnsi="Corbel"/>
                <w:sz w:val="24"/>
              </w:rPr>
              <w:t xml:space="preserve">and understands the construction and operation of the </w:t>
            </w:r>
            <w:r w:rsidR="00F95F71">
              <w:rPr>
                <w:rFonts w:ascii="Corbel" w:hAnsi="Corbel"/>
                <w:sz w:val="24"/>
              </w:rPr>
              <w:t xml:space="preserve">measuring </w:t>
            </w:r>
            <w:r w:rsidR="00F95F71" w:rsidRPr="00F95F71">
              <w:rPr>
                <w:rFonts w:ascii="Corbel" w:hAnsi="Corbel"/>
                <w:sz w:val="24"/>
              </w:rPr>
              <w:t>apparatus</w:t>
            </w:r>
            <w:r w:rsidR="00F95F71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5F2719C5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2608DC">
              <w:rPr>
                <w:rFonts w:ascii="Corbel" w:hAnsi="Corbel"/>
                <w:b w:val="0"/>
                <w:bCs/>
              </w:rPr>
              <w:t>1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50ECB292" w:rsidR="00AB070F" w:rsidRPr="00FD0882" w:rsidRDefault="008578C2" w:rsidP="002608DC">
            <w:pPr>
              <w:pStyle w:val="TableParagraph"/>
              <w:ind w:left="-38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F95F71" w:rsidRPr="00F95F71">
              <w:rPr>
                <w:rFonts w:ascii="Corbel" w:hAnsi="Corbel"/>
                <w:sz w:val="24"/>
              </w:rPr>
              <w:t xml:space="preserve">is able to properly plan analyses and select appropriate apparatus used in the </w:t>
            </w:r>
            <w:r w:rsidR="002608DC">
              <w:rPr>
                <w:rFonts w:ascii="Corbel" w:hAnsi="Corbel"/>
                <w:sz w:val="24"/>
              </w:rPr>
              <w:t xml:space="preserve">food </w:t>
            </w:r>
            <w:r w:rsidR="00F95F71" w:rsidRPr="00F95F71">
              <w:rPr>
                <w:rFonts w:ascii="Corbel" w:hAnsi="Corbel"/>
                <w:sz w:val="24"/>
              </w:rPr>
              <w:t>analysis</w:t>
            </w:r>
            <w:r w:rsidR="002608DC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0288347E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2608DC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2608DC" w:rsidRPr="00FD0882" w14:paraId="55BEAA3C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BF506" w14:textId="031B92D3" w:rsidR="002608DC" w:rsidRPr="00FD0882" w:rsidRDefault="002608DC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  <w:tc>
          <w:tcPr>
            <w:tcW w:w="4598" w:type="dxa"/>
            <w:tcMar>
              <w:left w:w="103" w:type="dxa"/>
            </w:tcMar>
          </w:tcPr>
          <w:p w14:paraId="2AF3BBED" w14:textId="485ABD12" w:rsidR="002608DC" w:rsidRPr="00105F86" w:rsidRDefault="002608DC" w:rsidP="002608DC">
            <w:pPr>
              <w:pStyle w:val="TableParagraph"/>
              <w:ind w:left="-38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is ready to deepen </w:t>
            </w:r>
            <w:r>
              <w:rPr>
                <w:rFonts w:ascii="Corbel" w:hAnsi="Corbel"/>
                <w:sz w:val="24"/>
                <w:szCs w:val="24"/>
              </w:rPr>
              <w:t>his/her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knowledge in order to improve their professional competence and </w:t>
            </w:r>
            <w:r>
              <w:rPr>
                <w:rFonts w:ascii="Corbel" w:hAnsi="Corbel"/>
                <w:sz w:val="24"/>
                <w:szCs w:val="24"/>
              </w:rPr>
              <w:t>to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solv</w:t>
            </w:r>
            <w:r>
              <w:rPr>
                <w:rFonts w:ascii="Corbel" w:hAnsi="Corbel"/>
                <w:sz w:val="24"/>
                <w:szCs w:val="24"/>
              </w:rPr>
              <w:t>e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the tasks on </w:t>
            </w:r>
            <w:r>
              <w:rPr>
                <w:rFonts w:ascii="Corbel" w:hAnsi="Corbel"/>
                <w:sz w:val="24"/>
                <w:szCs w:val="24"/>
              </w:rPr>
              <w:t>his/her</w:t>
            </w:r>
            <w:r w:rsidRPr="002608DC">
              <w:rPr>
                <w:rFonts w:ascii="Corbel" w:hAnsi="Corbel"/>
                <w:sz w:val="24"/>
                <w:szCs w:val="24"/>
              </w:rPr>
              <w:t xml:space="preserve"> own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637D3748" w14:textId="605579A4" w:rsidR="002608DC" w:rsidRPr="007A553A" w:rsidRDefault="002608DC" w:rsidP="00FD088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608DC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19D22B16" w:rsidR="00AA1FCD" w:rsidRPr="00501CC7" w:rsidRDefault="001C26A0" w:rsidP="00501CC7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4764AD4" w14:textId="732947DB" w:rsidR="00AA1FCD" w:rsidRPr="00501CC7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21777E" w14:textId="2CF7ACB2" w:rsidR="00AA1FCD" w:rsidRPr="00501CC7" w:rsidRDefault="00501CC7" w:rsidP="00501CC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bookmarkStart w:id="2" w:name="_Hlk158646277"/>
      <w:r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  <w:bookmarkEnd w:id="2"/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900877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7781235E" w:rsidR="00CC0CC3" w:rsidRPr="008E1BCE" w:rsidRDefault="002608DC" w:rsidP="002608D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2608DC">
              <w:rPr>
                <w:rFonts w:ascii="Corbel" w:hAnsi="Corbel"/>
                <w:lang w:val="en-GB"/>
              </w:rPr>
              <w:t xml:space="preserve">The use of spectroscopic methods in instrumental analysis. Spectrophotometric </w:t>
            </w:r>
            <w:proofErr w:type="spellStart"/>
            <w:r w:rsidRPr="002608DC">
              <w:rPr>
                <w:rFonts w:ascii="Corbel" w:hAnsi="Corbel"/>
                <w:lang w:val="en-GB"/>
              </w:rPr>
              <w:t>color</w:t>
            </w:r>
            <w:proofErr w:type="spellEnd"/>
            <w:r w:rsidRPr="002608DC">
              <w:rPr>
                <w:rFonts w:ascii="Corbel" w:hAnsi="Corbel"/>
                <w:lang w:val="en-GB"/>
              </w:rPr>
              <w:t xml:space="preserve"> measurement and spectrophotometric determination of anthocyanins in raw materials and food of vegetable origin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900877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2E9F3655" w:rsidR="00CC0CC3" w:rsidRPr="003D2276" w:rsidRDefault="002608DC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608DC">
              <w:rPr>
                <w:rFonts w:ascii="Corbel" w:hAnsi="Corbel"/>
                <w:lang w:val="en-GB"/>
              </w:rPr>
              <w:t xml:space="preserve">Spectrophotometric </w:t>
            </w:r>
            <w:r>
              <w:rPr>
                <w:rFonts w:ascii="Corbel" w:hAnsi="Corbel"/>
                <w:lang w:val="en-GB"/>
              </w:rPr>
              <w:t>m</w:t>
            </w:r>
            <w:r w:rsidRPr="002608DC">
              <w:rPr>
                <w:rFonts w:ascii="Corbel" w:hAnsi="Corbel"/>
                <w:lang w:val="en-GB"/>
              </w:rPr>
              <w:t xml:space="preserve">ethod for the </w:t>
            </w:r>
            <w:r>
              <w:rPr>
                <w:rFonts w:ascii="Corbel" w:hAnsi="Corbel"/>
                <w:lang w:val="en-GB"/>
              </w:rPr>
              <w:t>d</w:t>
            </w:r>
            <w:r w:rsidRPr="002608DC">
              <w:rPr>
                <w:rFonts w:ascii="Corbel" w:hAnsi="Corbel"/>
                <w:lang w:val="en-GB"/>
              </w:rPr>
              <w:t xml:space="preserve">etermination of </w:t>
            </w:r>
            <w:r>
              <w:rPr>
                <w:rFonts w:ascii="Corbel" w:hAnsi="Corbel"/>
                <w:lang w:val="en-GB"/>
              </w:rPr>
              <w:t>v</w:t>
            </w:r>
            <w:r w:rsidRPr="002608DC">
              <w:rPr>
                <w:rFonts w:ascii="Corbel" w:hAnsi="Corbel"/>
                <w:lang w:val="en-GB"/>
              </w:rPr>
              <w:t xml:space="preserve">itamin C in </w:t>
            </w:r>
            <w:r>
              <w:rPr>
                <w:rFonts w:ascii="Corbel" w:hAnsi="Corbel"/>
                <w:lang w:val="en-GB"/>
              </w:rPr>
              <w:t>p</w:t>
            </w:r>
            <w:r w:rsidRPr="002608DC">
              <w:rPr>
                <w:rFonts w:ascii="Corbel" w:hAnsi="Corbel"/>
                <w:lang w:val="en-GB"/>
              </w:rPr>
              <w:t>lant-</w:t>
            </w:r>
            <w:r>
              <w:rPr>
                <w:rFonts w:ascii="Corbel" w:hAnsi="Corbel"/>
                <w:lang w:val="en-GB"/>
              </w:rPr>
              <w:t>b</w:t>
            </w:r>
            <w:r w:rsidRPr="002608DC">
              <w:rPr>
                <w:rFonts w:ascii="Corbel" w:hAnsi="Corbel"/>
                <w:lang w:val="en-GB"/>
              </w:rPr>
              <w:t xml:space="preserve">ased </w:t>
            </w:r>
            <w:r>
              <w:rPr>
                <w:rFonts w:ascii="Corbel" w:hAnsi="Corbel"/>
                <w:lang w:val="en-GB"/>
              </w:rPr>
              <w:t>f</w:t>
            </w:r>
            <w:r w:rsidRPr="002608DC">
              <w:rPr>
                <w:rFonts w:ascii="Corbel" w:hAnsi="Corbel"/>
                <w:lang w:val="en-GB"/>
              </w:rPr>
              <w:t>oods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CC0CC3" w:rsidRPr="00900877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44C04B6" w:rsidR="00CC0CC3" w:rsidRPr="00A93185" w:rsidRDefault="00A93185" w:rsidP="002608DC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A93185">
              <w:rPr>
                <w:rFonts w:ascii="Corbel" w:hAnsi="Corbel"/>
                <w:lang w:val="en-US"/>
              </w:rPr>
              <w:t xml:space="preserve">Spectrophotometric determination of polyphenols and flavonoids in raw materials and </w:t>
            </w:r>
            <w:r>
              <w:rPr>
                <w:rFonts w:ascii="Corbel" w:hAnsi="Corbel"/>
                <w:lang w:val="en-GB"/>
              </w:rPr>
              <w:t>p</w:t>
            </w:r>
            <w:r w:rsidRPr="002608DC">
              <w:rPr>
                <w:rFonts w:ascii="Corbel" w:hAnsi="Corbel"/>
                <w:lang w:val="en-GB"/>
              </w:rPr>
              <w:t>lant-</w:t>
            </w:r>
            <w:r>
              <w:rPr>
                <w:rFonts w:ascii="Corbel" w:hAnsi="Corbel"/>
                <w:lang w:val="en-GB"/>
              </w:rPr>
              <w:t>b</w:t>
            </w:r>
            <w:r w:rsidRPr="002608DC">
              <w:rPr>
                <w:rFonts w:ascii="Corbel" w:hAnsi="Corbel"/>
                <w:lang w:val="en-GB"/>
              </w:rPr>
              <w:t xml:space="preserve">ased </w:t>
            </w:r>
            <w:r>
              <w:rPr>
                <w:rFonts w:ascii="Corbel" w:hAnsi="Corbel"/>
                <w:lang w:val="en-GB"/>
              </w:rPr>
              <w:t>f</w:t>
            </w:r>
            <w:r w:rsidRPr="002608DC">
              <w:rPr>
                <w:rFonts w:ascii="Corbel" w:hAnsi="Corbel"/>
                <w:lang w:val="en-GB"/>
              </w:rPr>
              <w:t>oods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EB10B9" w:rsidRPr="00A93185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B1D4BE7" w:rsidR="00EB10B9" w:rsidRPr="00FD0882" w:rsidRDefault="00A93185" w:rsidP="00A93185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A93185">
              <w:rPr>
                <w:rFonts w:ascii="Corbel" w:hAnsi="Corbel"/>
                <w:lang w:val="en-GB"/>
              </w:rPr>
              <w:lastRenderedPageBreak/>
              <w:t xml:space="preserve">Methods of extraction of plant material and methods of extraction of individual substances of plant origin. </w:t>
            </w:r>
            <w:r>
              <w:rPr>
                <w:rFonts w:ascii="Corbel" w:hAnsi="Corbel"/>
                <w:lang w:val="en-GB"/>
              </w:rPr>
              <w:t>Accelerated solvent extraction</w:t>
            </w:r>
            <w:r w:rsidRPr="00A93185">
              <w:rPr>
                <w:rFonts w:ascii="Corbel" w:hAnsi="Corbel"/>
                <w:lang w:val="en-GB"/>
              </w:rPr>
              <w:t>, solid-phase extraction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A93185" w:rsidRPr="00900877" w14:paraId="02BD0FD4" w14:textId="77777777" w:rsidTr="00205A2E">
        <w:tc>
          <w:tcPr>
            <w:tcW w:w="7229" w:type="dxa"/>
            <w:tcMar>
              <w:left w:w="103" w:type="dxa"/>
            </w:tcMar>
          </w:tcPr>
          <w:p w14:paraId="4F3015B1" w14:textId="377FA285" w:rsidR="00A93185" w:rsidRPr="00A93185" w:rsidRDefault="00A93185" w:rsidP="00A93185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Determination</w:t>
            </w:r>
            <w:r w:rsidRPr="00A93185">
              <w:rPr>
                <w:rFonts w:ascii="Corbel" w:hAnsi="Corbel"/>
                <w:lang w:val="en-GB"/>
              </w:rPr>
              <w:t xml:space="preserve"> </w:t>
            </w:r>
            <w:r>
              <w:rPr>
                <w:rFonts w:ascii="Corbel" w:hAnsi="Corbel"/>
                <w:lang w:val="en-GB"/>
              </w:rPr>
              <w:t xml:space="preserve">of </w:t>
            </w:r>
            <w:r w:rsidRPr="00A93185">
              <w:rPr>
                <w:rFonts w:ascii="Corbel" w:hAnsi="Corbel"/>
                <w:lang w:val="en-GB"/>
              </w:rPr>
              <w:t>antioxidant properties</w:t>
            </w:r>
            <w:r>
              <w:rPr>
                <w:rFonts w:ascii="Corbel" w:hAnsi="Corbel"/>
                <w:lang w:val="en-GB"/>
              </w:rPr>
              <w:t xml:space="preserve"> by</w:t>
            </w:r>
            <w:r w:rsidRPr="00A93185">
              <w:rPr>
                <w:rFonts w:ascii="Corbel" w:hAnsi="Corbel"/>
                <w:lang w:val="en-GB"/>
              </w:rPr>
              <w:t xml:space="preserve"> ABTS, DPPH</w:t>
            </w:r>
            <w:r>
              <w:rPr>
                <w:rFonts w:ascii="Corbel" w:hAnsi="Corbel"/>
                <w:lang w:val="en-GB"/>
              </w:rPr>
              <w:t xml:space="preserve"> and FRAP methods.</w:t>
            </w:r>
          </w:p>
        </w:tc>
      </w:tr>
    </w:tbl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7E14447D" w14:textId="77777777" w:rsidR="008E1BCE" w:rsidRPr="00FD0882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DD688C3" w:rsidR="00A61AFD" w:rsidRPr="00B249BD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</w:t>
            </w:r>
            <w:r w:rsidR="002A490E" w:rsidRP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7C8D32FD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 w:rsid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c</w:t>
            </w:r>
            <w:r w:rsidR="002A490E" w:rsidRPr="002A490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olloquium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61A85E0C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93185" w:rsidRPr="00FD0882" w14:paraId="146B5A0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BD0543" w14:textId="5D48FE1E" w:rsidR="00A93185" w:rsidRPr="00FD0882" w:rsidRDefault="00A93185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Mar>
              <w:left w:w="103" w:type="dxa"/>
            </w:tcMar>
          </w:tcPr>
          <w:p w14:paraId="687FC596" w14:textId="39AC9825" w:rsidR="00A93185" w:rsidRDefault="00A93185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CBFB10" w14:textId="0108EEDE" w:rsidR="00A93185" w:rsidRDefault="00A93185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00877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408246" w14:textId="78F57121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Forms of assessment: laboratory work report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04D289DB" w14:textId="258E4BE4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total points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colloquium</w:t>
            </w: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report. </w:t>
            </w:r>
          </w:p>
          <w:p w14:paraId="1BFF428B" w14:textId="5F021E93" w:rsidR="002A490E" w:rsidRPr="002A490E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Passing exercises (&gt; 50% of the maximum number of points): satisfactory 51-59%, satisfactory  plus 60-69%, good 70-79%, good plus 80-89%, very good&gt; 90%.</w:t>
            </w:r>
          </w:p>
          <w:p w14:paraId="3F9D07E3" w14:textId="2AA899E0" w:rsidR="00AA1FCD" w:rsidRPr="00FD0882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2A49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EDC093" w14:textId="05E8DC2E" w:rsidR="00AA1FCD" w:rsidRPr="00997EE0" w:rsidRDefault="002D7484" w:rsidP="00997EE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97"/>
      </w:tblGrid>
      <w:tr w:rsidR="00AA1FCD" w:rsidRPr="00FD0882" w14:paraId="279B9BC1" w14:textId="77777777" w:rsidTr="002A490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0A314C1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lastRenderedPageBreak/>
              <w:t>-</w:t>
            </w:r>
          </w:p>
        </w:tc>
      </w:tr>
      <w:tr w:rsidR="00AA1FCD" w:rsidRPr="00FD0882" w14:paraId="0677B14F" w14:textId="77777777" w:rsidTr="002A490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49598FB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54"/>
      </w:tblGrid>
      <w:tr w:rsidR="00AA1FCD" w:rsidRPr="00045B6B" w14:paraId="400A8075" w14:textId="77777777" w:rsidTr="002A490E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23C15" w14:textId="11B0FC04" w:rsidR="00AF3C46" w:rsidRP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79C3FAB8" w14:textId="0F26F6C9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Obiedziński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M (red.) Wybrane zagadnienia z analizy żywności. SGGW, Warszawa, 2009.</w:t>
            </w:r>
          </w:p>
          <w:p w14:paraId="4E5D1720" w14:textId="4F642406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2.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Silverstein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R.M. Spektroskopowe metody identyfikacji związków organicznych. PWN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2007.</w:t>
            </w:r>
          </w:p>
          <w:p w14:paraId="644CFA05" w14:textId="7E089529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Fortuna T. (red.) Podstawy analizy i oceny jakości żywności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UR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Krak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ó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2012.</w:t>
            </w:r>
          </w:p>
          <w:p w14:paraId="60553621" w14:textId="0924F1AF" w:rsidR="00EE266C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4.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Tajner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-Czopek A., Kita A. Analiza żywności - jakość produktów spożywczych. AR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Wrocław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2005.</w:t>
            </w:r>
          </w:p>
        </w:tc>
      </w:tr>
      <w:tr w:rsidR="002A490E" w:rsidRPr="002A490E" w14:paraId="3AA36F92" w14:textId="77777777" w:rsidTr="002A490E">
        <w:trPr>
          <w:trHeight w:val="532"/>
        </w:trPr>
        <w:tc>
          <w:tcPr>
            <w:tcW w:w="8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2018C8" w14:textId="7F9E5822" w:rsidR="002A490E" w:rsidRPr="00900877" w:rsidRDefault="002A490E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352D4B7" w14:textId="7F98FE6D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1. Sikorski Z. E. (red.) Chemiczne i funkcjonalne właściwości składników żywności. Wyd. 2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WNT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1996.</w:t>
            </w:r>
          </w:p>
          <w:p w14:paraId="2BB74A8C" w14:textId="0028122C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2. Cygański A. Metody spektroskopowe w chemii analitycznej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1993.</w:t>
            </w:r>
          </w:p>
          <w:p w14:paraId="31B39D13" w14:textId="71D4C678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3. Witkiewicz Z. Podstawy chromatografii.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2005.</w:t>
            </w:r>
          </w:p>
          <w:p w14:paraId="529DAEEE" w14:textId="37605BE8" w:rsidR="002A490E" w:rsidRP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4. Hoffmann E. Spektrometria mas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WNT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Warszawa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1998.</w:t>
            </w:r>
          </w:p>
          <w:p w14:paraId="064CAFD0" w14:textId="48D89790" w:rsidR="002A490E" w:rsidRDefault="002A490E" w:rsidP="002A490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90087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5. </w:t>
            </w:r>
            <w:proofErr w:type="spellStart"/>
            <w:r w:rsidRPr="0090087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Nilsen</w:t>
            </w:r>
            <w:proofErr w:type="spellEnd"/>
            <w:r w:rsidRPr="0090087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S. (Ed.)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Food Analysis, Food Science Text Series, Springer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2010.</w:t>
            </w:r>
          </w:p>
          <w:p w14:paraId="383B5DD5" w14:textId="77777777" w:rsidR="004B24BD" w:rsidRPr="002A490E" w:rsidRDefault="004B24BD" w:rsidP="004B24B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</w:p>
          <w:p w14:paraId="0F4E8970" w14:textId="50AC88EE" w:rsidR="002A490E" w:rsidRDefault="002A490E" w:rsidP="002A490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6. Leo M.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L. </w:t>
            </w:r>
            <w:proofErr w:type="spellStart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Nollet</w:t>
            </w:r>
            <w:proofErr w:type="spellEnd"/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: Food Analysis by HPLC CRC Press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</w:t>
            </w:r>
            <w:r w:rsidRPr="002A490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2012</w:t>
            </w:r>
            <w:r w:rsidR="004B24B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0CD4705D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789A8A2" w14:textId="3F888C9E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7.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Pawłowska 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De Leo 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Braca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A. Antioxidant and antiproliferative activities of phenolic extracts of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Eriobotrya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japonica (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Thunb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.)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Lindl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fruits and leaves. Plants (Basel). 2023 Sep 10;12(18):3221.</w:t>
            </w:r>
          </w:p>
          <w:p w14:paraId="6CB214CB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08915C62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8.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K., Pawłowska A.,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Potocki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L.,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T. Chemical profiling, bioactive properties, and anticancer and antimicrobial potential of Juglans regia L.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l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eaves. Molecules. 2023 Feb 20;28(4):1989.</w:t>
            </w:r>
          </w:p>
          <w:p w14:paraId="35FB2A55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61AD3429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9.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K., Pawłowska A., </w:t>
            </w:r>
            <w:proofErr w:type="spellStart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T. Phytochemical screening and bioactive properties of Juglans regia L. pollen. Antioxidants (Basel). 2022 Oct 18;11(10):2046.</w:t>
            </w:r>
          </w:p>
          <w:p w14:paraId="1FFF8E24" w14:textId="77777777" w:rsidR="004B24BD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040122DF" w14:textId="1BE61302" w:rsidR="004B24BD" w:rsidRPr="002A490E" w:rsidRDefault="004B24BD" w:rsidP="002A490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10.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Żurek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N, Pawłowska A,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Pycia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K,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Grabek-Lejko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D, </w:t>
            </w:r>
            <w:proofErr w:type="spellStart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Kapusta</w:t>
            </w:r>
            <w:proofErr w:type="spellEnd"/>
            <w:r w:rsidRPr="0090087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IT. </w:t>
            </w:r>
            <w:r w:rsidRPr="004B24B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Phenolic profile and antioxidant, antibacterial, and antiproliferative activity of Juglans regia L. male flowers. Molecules. 2022 Apr 26;27(9):2762.</w:t>
            </w:r>
          </w:p>
        </w:tc>
      </w:tr>
    </w:tbl>
    <w:p w14:paraId="45E42DE3" w14:textId="546F288B" w:rsidR="00AA1FCD" w:rsidRPr="002A490E" w:rsidRDefault="00AA1FCD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7732D7E" w14:textId="28A5222D" w:rsidR="00AF3C46" w:rsidRPr="002A490E" w:rsidRDefault="00AF3C46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C2DE3E" w14:textId="3C7F6669" w:rsidR="004F2031" w:rsidRPr="00900877" w:rsidRDefault="002D7484" w:rsidP="00900877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  <w:bookmarkStart w:id="3" w:name="_GoBack"/>
      <w:bookmarkEnd w:id="3"/>
    </w:p>
    <w:sectPr w:rsidR="004F2031" w:rsidRPr="00900877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08DC"/>
    <w:rsid w:val="00267ED6"/>
    <w:rsid w:val="002737C8"/>
    <w:rsid w:val="0028211C"/>
    <w:rsid w:val="002A01DE"/>
    <w:rsid w:val="002A490E"/>
    <w:rsid w:val="002D7484"/>
    <w:rsid w:val="002E19D7"/>
    <w:rsid w:val="002F510D"/>
    <w:rsid w:val="00300BF3"/>
    <w:rsid w:val="00304C7D"/>
    <w:rsid w:val="003202B4"/>
    <w:rsid w:val="0033724F"/>
    <w:rsid w:val="0034420A"/>
    <w:rsid w:val="00357236"/>
    <w:rsid w:val="0036275B"/>
    <w:rsid w:val="003730E0"/>
    <w:rsid w:val="00385351"/>
    <w:rsid w:val="003969D7"/>
    <w:rsid w:val="003D04EB"/>
    <w:rsid w:val="003D2276"/>
    <w:rsid w:val="003D2D77"/>
    <w:rsid w:val="003D7DAB"/>
    <w:rsid w:val="003E417A"/>
    <w:rsid w:val="00466793"/>
    <w:rsid w:val="004A6B92"/>
    <w:rsid w:val="004B24BD"/>
    <w:rsid w:val="004B7EF4"/>
    <w:rsid w:val="004F2031"/>
    <w:rsid w:val="004F3AD6"/>
    <w:rsid w:val="00501CC7"/>
    <w:rsid w:val="00506C8F"/>
    <w:rsid w:val="005B00F2"/>
    <w:rsid w:val="005E4804"/>
    <w:rsid w:val="005F3199"/>
    <w:rsid w:val="00601E22"/>
    <w:rsid w:val="006413EE"/>
    <w:rsid w:val="006D23D9"/>
    <w:rsid w:val="00736DC4"/>
    <w:rsid w:val="0076162D"/>
    <w:rsid w:val="0078581F"/>
    <w:rsid w:val="00785ED7"/>
    <w:rsid w:val="007F0AD5"/>
    <w:rsid w:val="008578C2"/>
    <w:rsid w:val="008A7B84"/>
    <w:rsid w:val="008E1BCE"/>
    <w:rsid w:val="00900877"/>
    <w:rsid w:val="00913BA3"/>
    <w:rsid w:val="0092318C"/>
    <w:rsid w:val="00972A71"/>
    <w:rsid w:val="00974557"/>
    <w:rsid w:val="00975AE6"/>
    <w:rsid w:val="00997EE0"/>
    <w:rsid w:val="009C26E8"/>
    <w:rsid w:val="009C4FDD"/>
    <w:rsid w:val="009F7732"/>
    <w:rsid w:val="00A337C9"/>
    <w:rsid w:val="00A6126D"/>
    <w:rsid w:val="00A61AFD"/>
    <w:rsid w:val="00A93185"/>
    <w:rsid w:val="00AA1FCD"/>
    <w:rsid w:val="00AB070F"/>
    <w:rsid w:val="00AD667D"/>
    <w:rsid w:val="00AF3C46"/>
    <w:rsid w:val="00B11D42"/>
    <w:rsid w:val="00B243A0"/>
    <w:rsid w:val="00B249BD"/>
    <w:rsid w:val="00BB2976"/>
    <w:rsid w:val="00BE2D8F"/>
    <w:rsid w:val="00C02EEA"/>
    <w:rsid w:val="00C57B9E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46F3A"/>
    <w:rsid w:val="00E67088"/>
    <w:rsid w:val="00EA249D"/>
    <w:rsid w:val="00EB10B9"/>
    <w:rsid w:val="00EC502D"/>
    <w:rsid w:val="00EE266C"/>
    <w:rsid w:val="00F06312"/>
    <w:rsid w:val="00F16EF0"/>
    <w:rsid w:val="00F255AA"/>
    <w:rsid w:val="00F32FE2"/>
    <w:rsid w:val="00F40BAB"/>
    <w:rsid w:val="00F4620F"/>
    <w:rsid w:val="00F90869"/>
    <w:rsid w:val="00F95F71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0600-0CF0-4F07-9F60-7BC17447E7E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875c63c0-45e1-4f4a-8797-41d481b79017"/>
    <ds:schemaRef ds:uri="cb59da9b-4ac6-4a65-8cdf-3b2ec47675f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97DC0-17D6-45C3-8C11-45CBC65C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5A2F0C-AE2E-4BB6-8148-1BA89CF6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5744</Characters>
  <Application>Microsoft Office Word</Application>
  <DocSecurity>0</DocSecurity>
  <Lines>261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2025-03-06T13:47:00Z</dcterms:created>
  <dcterms:modified xsi:type="dcterms:W3CDTF">2025-03-06T13:47:00Z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  <property fmtid="{D5CDD505-2E9C-101B-9397-08002B2CF9AE}" pid="3" name="GrammarlyDocumentId">
    <vt:lpwstr>b4dfd985c8d239729d44d59b3b7547d1a55d1ab0de56c909c026489152f0b651</vt:lpwstr>
  </property>
</Properties>
</file>