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cs="Tahoma" w:ascii="Corbel" w:hAnsi="Corbel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>
        <w:rPr>
          <w:rFonts w:cs="Tahoma" w:ascii="Corbel" w:hAnsi="Corbel"/>
          <w:color w:val="auto"/>
          <w:sz w:val="20"/>
          <w:szCs w:val="20"/>
          <w:lang w:val="en-GB"/>
        </w:rPr>
        <w:t xml:space="preserve">Appendix No. 1.5 to the Resolution No. 7/2023 </w:t>
      </w:r>
    </w:p>
    <w:p>
      <w:pPr>
        <w:pStyle w:val="Normal"/>
        <w:spacing w:lineRule="auto" w:line="240" w:before="0" w:after="0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cs="Tahoma" w:ascii="Corbel" w:hAnsi="Corbel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>
        <w:rPr>
          <w:rFonts w:cs="Tahoma" w:ascii="Corbel" w:hAnsi="Corbel"/>
          <w:color w:val="auto"/>
          <w:sz w:val="20"/>
          <w:szCs w:val="20"/>
          <w:lang w:val="en-GB"/>
        </w:rPr>
        <w:t>of the Rector of the University of Rzeszów</w:t>
      </w:r>
    </w:p>
    <w:p>
      <w:pPr>
        <w:pStyle w:val="Normal"/>
        <w:spacing w:lineRule="auto" w:line="240" w:before="0" w:after="0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cs="Tahoma" w:ascii="Corbel" w:hAnsi="Corbel"/>
          <w:color w:val="auto"/>
          <w:sz w:val="20"/>
          <w:szCs w:val="20"/>
          <w:lang w:val="en-GB"/>
        </w:rPr>
      </w:r>
    </w:p>
    <w:p>
      <w:pPr>
        <w:pStyle w:val="Normal"/>
        <w:spacing w:lineRule="auto" w:line="240" w:before="0" w:after="0"/>
        <w:jc w:val="center"/>
        <w:rPr>
          <w:rFonts w:ascii="Corbel" w:hAnsi="Corbel" w:cs="Tahoma"/>
          <w:b/>
          <w:b/>
          <w:smallCaps/>
          <w:color w:val="auto"/>
          <w:sz w:val="36"/>
          <w:lang w:val="en-GB"/>
        </w:rPr>
      </w:pPr>
      <w:r>
        <w:rPr>
          <w:rFonts w:cs="Tahoma" w:ascii="Corbel" w:hAnsi="Corbel"/>
          <w:b/>
          <w:smallCaps/>
          <w:color w:val="auto"/>
          <w:sz w:val="36"/>
          <w:lang w:val="en-GB"/>
        </w:rPr>
        <w:t>SYLLABUS</w:t>
      </w:r>
    </w:p>
    <w:p>
      <w:pPr>
        <w:pStyle w:val="Normal"/>
        <w:spacing w:lineRule="auto" w:line="240" w:before="0" w:after="0"/>
        <w:jc w:val="center"/>
        <w:rPr>
          <w:rFonts w:ascii="Corbel" w:hAnsi="Corbel" w:cs="Tahoma"/>
          <w:b/>
          <w:b/>
          <w:bCs/>
          <w:smallCaps/>
          <w:color w:val="auto"/>
          <w:szCs w:val="24"/>
          <w:lang w:val="en-GB"/>
        </w:rPr>
      </w:pPr>
      <w:r>
        <w:rPr>
          <w:rFonts w:cs="Tahoma" w:ascii="Corbel" w:hAnsi="Corbel"/>
          <w:b/>
          <w:bCs/>
          <w:smallCaps/>
          <w:color w:val="auto"/>
          <w:szCs w:val="24"/>
          <w:lang w:val="en-GB"/>
        </w:rPr>
        <w:t>regarding the qualification cycle FROM  2025 TO 2026</w:t>
      </w:r>
    </w:p>
    <w:p>
      <w:pPr>
        <w:pStyle w:val="Normal"/>
        <w:spacing w:lineRule="auto" w:line="240" w:before="0" w:after="0"/>
        <w:jc w:val="center"/>
        <w:rPr>
          <w:rFonts w:ascii="Corbel" w:hAnsi="Corbel" w:cs="Tahoma"/>
          <w:b/>
          <w:b/>
          <w:bCs/>
          <w:smallCaps/>
          <w:color w:val="auto"/>
          <w:szCs w:val="24"/>
          <w:lang w:val="en-GB"/>
        </w:rPr>
      </w:pPr>
      <w:r>
        <w:rPr>
          <w:rFonts w:cs="Tahoma" w:ascii="Corbel" w:hAnsi="Corbel"/>
          <w:b/>
          <w:bCs/>
          <w:smallCaps/>
          <w:color w:val="auto"/>
          <w:szCs w:val="24"/>
          <w:lang w:val="en-GB"/>
        </w:rPr>
        <w:t>Academic year ………..</w:t>
      </w:r>
    </w:p>
    <w:p>
      <w:pPr>
        <w:pStyle w:val="Normal"/>
        <w:tabs>
          <w:tab w:val="clear" w:pos="708"/>
          <w:tab w:val="left" w:pos="6405" w:leader="none"/>
        </w:tabs>
        <w:spacing w:lineRule="auto" w:line="240" w:before="0" w:after="0"/>
        <w:jc w:val="center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cs="Tahoma" w:ascii="Corbel" w:hAnsi="Corbel"/>
          <w:color w:val="auto"/>
          <w:szCs w:val="24"/>
          <w:lang w:val="en-US"/>
        </w:rPr>
        <w:t xml:space="preserve">1. Basic Course/Module Information </w:t>
      </w:r>
    </w:p>
    <w:tbl>
      <w:tblPr>
        <w:tblW w:w="9667" w:type="dxa"/>
        <w:jc w:val="left"/>
        <w:tblInd w:w="-3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15"/>
        <w:gridCol w:w="6851"/>
      </w:tblGrid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before="280" w:after="28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Corbel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Colonialism and post-colonialism. Introduction to discourse and its contemporary problems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Dept. of Pedagogy and Philosophy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Institute of Philosophy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before="280" w:after="28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Corbel" w:ascii="Corbel" w:hAnsi="Corbel"/>
                <w:b w:val="false"/>
                <w:color w:val="auto"/>
                <w:sz w:val="24"/>
                <w:szCs w:val="24"/>
                <w:lang w:val="en-GB"/>
              </w:rPr>
              <w:t>Intercultural communication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before="280" w:after="28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Corbel" w:ascii="Corbel" w:hAnsi="Corbel"/>
                <w:b w:val="false"/>
                <w:color w:val="auto"/>
                <w:sz w:val="24"/>
                <w:szCs w:val="24"/>
                <w:lang w:val="en-GB"/>
              </w:rPr>
              <w:t>MA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napToGrid w:val="false"/>
              <w:spacing w:before="280" w:after="28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Corbel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Functional (specialisation)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 w:val="false"/>
                <w:i w:val="false"/>
                <w:iCs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 w:val="false"/>
                <w:iCs w:val="false"/>
                <w:color w:val="auto"/>
                <w:sz w:val="24"/>
                <w:szCs w:val="24"/>
                <w:lang w:val="en-GB"/>
              </w:rPr>
              <w:t>I/II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elective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Adam Kubiak PhD</w:t>
            </w:r>
          </w:p>
        </w:tc>
      </w:tr>
      <w:tr>
        <w:trPr/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widowControl w:val="false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Adam Kubiak PhD</w:t>
            </w:r>
          </w:p>
        </w:tc>
      </w:tr>
    </w:tbl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p>
      <w:pPr>
        <w:pStyle w:val="Podpunkty"/>
        <w:ind w:left="0" w:hanging="0"/>
        <w:rPr>
          <w:rFonts w:ascii="Corbel" w:hAnsi="Corbel" w:cs="Tahoma"/>
          <w:b w:val="false"/>
          <w:b w:val="false"/>
          <w:color w:val="auto"/>
          <w:sz w:val="24"/>
          <w:szCs w:val="24"/>
          <w:lang w:val="en-GB"/>
        </w:rPr>
      </w:pPr>
      <w:r>
        <w:rPr>
          <w:rFonts w:cs="Tahoma" w:ascii="Corbel" w:hAnsi="Corbel"/>
          <w:b w:val="false"/>
          <w:color w:val="auto"/>
          <w:sz w:val="24"/>
          <w:szCs w:val="24"/>
          <w:lang w:val="en-GB"/>
        </w:rPr>
        <w:t>* - as agreed at the faculty</w:t>
      </w:r>
    </w:p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p>
      <w:pPr>
        <w:pStyle w:val="Podpunkty"/>
        <w:ind w:left="0" w:hanging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  <w:t xml:space="preserve">1.1.Learning format – number of hours and ECTS credits </w:t>
      </w:r>
    </w:p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tbl>
      <w:tblPr>
        <w:tblW w:w="9111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0"/>
        <w:gridCol w:w="959"/>
        <w:gridCol w:w="1021"/>
        <w:gridCol w:w="1262"/>
        <w:gridCol w:w="991"/>
        <w:gridCol w:w="990"/>
        <w:gridCol w:w="1235"/>
        <w:gridCol w:w="748"/>
        <w:gridCol w:w="824"/>
      </w:tblGrid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agwkitablic"/>
              <w:widowControl w:val="false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</w:r>
          </w:p>
          <w:p>
            <w:pPr>
              <w:pStyle w:val="Nagwkitablic"/>
              <w:widowControl w:val="false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</w:r>
          </w:p>
          <w:p>
            <w:pPr>
              <w:pStyle w:val="Nagwkitablic"/>
              <w:widowControl w:val="false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widowControl w:val="false"/>
              <w:spacing w:before="0" w:after="120"/>
              <w:jc w:val="center"/>
              <w:rPr>
                <w:rFonts w:ascii="Corbel" w:hAnsi="Corbel" w:cs="Tahoma"/>
                <w:b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>
        <w:trPr>
          <w:trHeight w:val="453" w:hRule="atLeast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Centralniewrubryce"/>
              <w:widowControl w:val="fals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3</w:t>
            </w:r>
          </w:p>
        </w:tc>
      </w:tr>
    </w:tbl>
    <w:p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  <w:r>
        <w:rPr>
          <w:rFonts w:cs="Tahoma" w:ascii="Corbel" w:hAnsi="Corbel"/>
          <w:color w:val="auto"/>
          <w:sz w:val="24"/>
          <w:szCs w:val="24"/>
          <w:lang w:val="en-GB" w:eastAsia="en-US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US"/>
        </w:rPr>
        <w:t>1.2. Course delivery methods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 xml:space="preserve">- </w:t>
      </w:r>
      <w:r>
        <w:rPr>
          <w:rFonts w:cs="Tahoma" w:ascii="Corbel" w:hAnsi="Corbel"/>
          <w:b/>
          <w:bCs/>
          <w:caps w:val="false"/>
          <w:smallCaps w:val="false"/>
          <w:color w:val="auto"/>
          <w:szCs w:val="24"/>
          <w:u w:val="single"/>
          <w:lang w:val="en-US"/>
        </w:rPr>
        <w:t>conducted in a traditional way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>- involving distance education</w:t>
      </w: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 </w:t>
      </w: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>methods and techniques</w:t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>1.3. Course/Module assessmen</w:t>
      </w:r>
      <w:r>
        <w:rPr>
          <w:rFonts w:cs="Tahoma" w:ascii="Corbel" w:hAnsi="Corbel"/>
          <w:bCs/>
          <w:caps w:val="false"/>
          <w:smallCaps w:val="false"/>
          <w:color w:val="auto"/>
          <w:szCs w:val="24"/>
          <w:lang w:val="en-GB"/>
        </w:rPr>
        <w:t xml:space="preserve">t </w:t>
      </w: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  <w:t xml:space="preserve">(exam, </w:t>
      </w:r>
      <w:r>
        <w:rPr>
          <w:rFonts w:cs="Tahoma" w:ascii="Corbel" w:hAnsi="Corbel"/>
          <w:b/>
          <w:bCs/>
          <w:caps w:val="false"/>
          <w:smallCaps w:val="false"/>
          <w:color w:val="auto"/>
          <w:szCs w:val="24"/>
          <w:u w:val="single"/>
          <w:lang w:val="en-GB"/>
        </w:rPr>
        <w:t>pass with a grade</w:t>
      </w: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  <w:t xml:space="preserve">, pass without a grade)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 xml:space="preserve">2. Prerequisites </w:t>
      </w:r>
    </w:p>
    <w:tbl>
      <w:tblPr>
        <w:tblW w:w="9633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3"/>
      </w:tblGrid>
      <w:tr>
        <w:trPr/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Familiarity with the general and cultural history.</w:t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>3. Objectives, Learning Outcomes, Course Content, and Instructional Methods</w:t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Podpunkty"/>
        <w:ind w:left="0" w:hanging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cs="Tahoma" w:ascii="Corbel" w:hAnsi="Corbel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0"/>
        <w:gridCol w:w="8962"/>
      </w:tblGrid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i/>
                <w:i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i/>
                <w:color w:val="auto"/>
                <w:sz w:val="24"/>
                <w:lang w:val="en-GB"/>
              </w:rPr>
              <w:t>Introduction to critical discourse on colonial and dependency relationships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Cele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lang w:val="en-GB"/>
              </w:rPr>
              <w:t>Familiarisation of students with the contemporary forms of postcolonial and dependency critique (cultural, digital, economical colonisation and dependency)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widowControl w:val="fals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lang w:val="en-GB"/>
              </w:rPr>
              <w:t>Students’ preparation for active and aware participation in public discourse in said area.</w:t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cs="Tahoma" w:ascii="Corbel" w:hAnsi="Corbel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color w:val="auto"/>
          <w:szCs w:val="24"/>
          <w:lang w:val="en-GB"/>
        </w:rPr>
        <w:t>(to be completed by the coordinator)</w:t>
      </w:r>
    </w:p>
    <w:p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tbl>
      <w:tblPr>
        <w:tblW w:w="9526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1"/>
        <w:gridCol w:w="4602"/>
        <w:gridCol w:w="2553"/>
      </w:tblGrid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Understanding of complexity of the ‘cultural matter’ shaped by the colonial and dependencies.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KW_06, KW_10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Awareness about accidentality of ‘obvious and clear historical facts’, ability to point out structures of domination, privilege and submission including one’s own in the coloniality context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KU_02, KU_05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Understanding of nature of misuses of dependence and colonial discourse.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KU_11, KK_04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p>
      <w:pPr>
        <w:pStyle w:val="Normal"/>
        <w:rPr>
          <w:rFonts w:ascii="Corbel" w:hAnsi="Corbel" w:cs="Tahoma"/>
          <w:b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cs="Tahoma" w:ascii="Corbel" w:hAnsi="Corbel"/>
          <w:b/>
          <w:color w:val="auto"/>
          <w:szCs w:val="24"/>
          <w:lang w:val="en-GB"/>
        </w:rPr>
        <w:t>Course content  (to be completed by the coordinator)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>Lectures</w:t>
      </w:r>
    </w:p>
    <w:p>
      <w:pPr>
        <w:pStyle w:val="ListParagraph"/>
        <w:spacing w:lineRule="auto" w:line="240" w:before="0" w:after="120"/>
        <w:ind w:left="1080" w:hanging="0"/>
        <w:contextualSpacing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tbl>
      <w:tblPr>
        <w:tblW w:w="7229" w:type="dxa"/>
        <w:jc w:val="left"/>
        <w:tblInd w:w="137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29"/>
      </w:tblGrid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708" w:hanging="708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Content outline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1. Cultural colonial and postcolonial heritage.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2. Colonialism as practice – building the Empire and living in the one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3. Postcolonial historical critique (</w:t>
            </w:r>
            <w:r>
              <w:rPr>
                <w:rFonts w:cs="Corbel" w:ascii="Garuda" w:hAnsi="Garuda"/>
                <w:color w:val="auto"/>
                <w:sz w:val="22"/>
                <w:szCs w:val="22"/>
                <w:lang w:val="en-GB"/>
              </w:rPr>
              <w:t xml:space="preserve"> Fanon, Said, Chakravorty-Spivak )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 xml:space="preserve">4. Adaptation, mimicra and subordinated resistance,, the rule of local elites (Bhabha, Kiossev)                                                                </w:t>
            </w:r>
          </w:p>
        </w:tc>
      </w:tr>
      <w:tr>
        <w:trPr/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5. (European) internal colonialism and colonialism without colonies (Polish Commonwealth, Russia, Osnam Empire and Austro-Hungary Empire.</w:t>
            </w:r>
          </w:p>
        </w:tc>
      </w:tr>
      <w:tr>
        <w:trPr/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6. Social colonialism and nesting colonialisms, practices ‘down to Earth’.</w:t>
            </w:r>
          </w:p>
        </w:tc>
      </w:tr>
      <w:tr>
        <w:trPr/>
        <w:tc>
          <w:tcPr>
            <w:tcW w:w="7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7. Misuses of postcolonial discourse – nationalists’ toolkit, re-imperialisation of social and political discourse (‘realism’, ‘geopolitics’) and neocolonialism in reality</w:t>
            </w:r>
          </w:p>
        </w:tc>
      </w:tr>
    </w:tbl>
    <w:p>
      <w:pPr>
        <w:pStyle w:val="Normal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>Classes, laboratories, seminars, practical classes</w:t>
      </w:r>
    </w:p>
    <w:p>
      <w:pPr>
        <w:pStyle w:val="ListParagraph"/>
        <w:ind w:left="1080" w:hanging="0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tbl>
      <w:tblPr>
        <w:tblW w:w="7229" w:type="dxa"/>
        <w:jc w:val="left"/>
        <w:tblInd w:w="137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29"/>
      </w:tblGrid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708" w:hanging="708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 Methods of Instruction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 w:val="20"/>
          <w:szCs w:val="20"/>
          <w:lang w:val="en-GB"/>
        </w:rPr>
        <w:t>e.g.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i/>
          <w:i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/>
          <w:bCs/>
          <w:i/>
          <w:caps w:val="false"/>
          <w:smallCaps w:val="false"/>
          <w:color w:val="auto"/>
          <w:sz w:val="20"/>
          <w:szCs w:val="20"/>
          <w:u w:val="single"/>
          <w:lang w:val="en-GB"/>
        </w:rPr>
        <w:t>Lecture: a problem-solving lecture/a lecture supported by a multimedia presentation</w:t>
      </w:r>
      <w:r>
        <w:rPr>
          <w:rFonts w:cs="Tahoma" w:ascii="Corbel" w:hAnsi="Corbel"/>
          <w:b w:val="false"/>
          <w:i/>
          <w:caps w:val="false"/>
          <w:smallCaps w:val="false"/>
          <w:color w:val="auto"/>
          <w:sz w:val="20"/>
          <w:szCs w:val="20"/>
          <w:lang w:val="en-GB"/>
        </w:rPr>
        <w:t>/ distance learning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i/>
          <w:i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 w:val="false"/>
          <w:i/>
          <w:caps w:val="false"/>
          <w:smallCaps w:val="false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i/>
          <w:i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 w:val="false"/>
          <w:i/>
          <w:caps w:val="false"/>
          <w:smallCaps w:val="false"/>
          <w:color w:val="auto"/>
          <w:sz w:val="20"/>
          <w:szCs w:val="20"/>
          <w:lang w:val="en-GB"/>
        </w:rPr>
        <w:t>Laboratory classes: designing and conducting experiments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4. Assessment techniques and criteria </w:t>
      </w:r>
    </w:p>
    <w:p>
      <w:pPr>
        <w:pStyle w:val="Punktygwne"/>
        <w:spacing w:before="0" w:after="0"/>
        <w:ind w:left="36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4.1 Methods of evaluating learning outcomes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tbl>
      <w:tblPr>
        <w:tblW w:w="9099" w:type="dxa"/>
        <w:jc w:val="left"/>
        <w:tblInd w:w="52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7"/>
        <w:gridCol w:w="4956"/>
        <w:gridCol w:w="2196"/>
      </w:tblGrid>
      <w:tr>
        <w:trPr/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Learning outcome</w:t>
            </w:r>
          </w:p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>
        <w:trPr/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4"/>
                <w:lang w:val="en-GB" w:eastAsia="pl-PL"/>
              </w:rPr>
              <w:t>LO-01-4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i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i/>
                <w:color w:val="auto"/>
                <w:szCs w:val="20"/>
                <w:lang w:val="en-GB" w:eastAsia="pl-PL"/>
              </w:rPr>
              <w:t>Active participation in class,  Passingthe tasks, final critical 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0"/>
                <w:lang w:val="en-GB" w:eastAsia="pl-PL"/>
              </w:rPr>
              <w:t>L*</w:t>
            </w:r>
          </w:p>
        </w:tc>
      </w:tr>
      <w:tr>
        <w:trPr/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0"/>
                <w:lang w:val="en-GB" w:eastAsia="pl-PL"/>
              </w:rPr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4.2 Course assessment criteria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tbl>
      <w:tblPr>
        <w:tblW w:w="9099" w:type="dxa"/>
        <w:jc w:val="left"/>
        <w:tblInd w:w="52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99"/>
      </w:tblGrid>
      <w:tr>
        <w:trPr/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  <w:t>Activity: 25%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  <w:t>Tasks: 25%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  <w:t>Final essay: 50%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Grade scale (normalised):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&lt;51% - ndst (F)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51-56 % - dst (D-)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57-64 % - dst+ (D)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65-70 % - db- (C)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71-80 % - db (B)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81-90 % - db+(B)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91-100% - bdb (A)</w:t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284" w:hanging="284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5. Total student workload needed to achieve the intended learning outcomes </w:t>
      </w:r>
    </w:p>
    <w:p>
      <w:pPr>
        <w:pStyle w:val="Punktygwne"/>
        <w:spacing w:before="0" w:after="0"/>
        <w:ind w:left="284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– </w:t>
      </w: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number of hours and ECTS credits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tbl>
      <w:tblPr>
        <w:tblW w:w="8751" w:type="dxa"/>
        <w:jc w:val="left"/>
        <w:tblInd w:w="48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75"/>
        <w:gridCol w:w="4375"/>
      </w:tblGrid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>
        <w:trPr>
          <w:trHeight w:val="426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eastAsia="pl-PL"/>
              </w:rPr>
              <w:t>Course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eastAsia="pl-PL"/>
              </w:rPr>
              <w:t>30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  <w:t>5 and as necessary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  <w:t>70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105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3</w:t>
            </w:r>
          </w:p>
        </w:tc>
      </w:tr>
    </w:tbl>
    <w:p>
      <w:pPr>
        <w:pStyle w:val="Punktygwne"/>
        <w:spacing w:before="0" w:after="0"/>
        <w:ind w:firstLine="708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>* One ECTS point corresponds to 25-30 hours of total student workload</w:t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>6. Internships related to the course/module</w:t>
      </w:r>
    </w:p>
    <w:p>
      <w:pPr>
        <w:pStyle w:val="Punktygwne"/>
        <w:spacing w:before="0" w:after="0"/>
        <w:ind w:left="36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tbl>
      <w:tblPr>
        <w:tblW w:w="8005" w:type="dxa"/>
        <w:jc w:val="left"/>
        <w:tblInd w:w="35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56"/>
        <w:gridCol w:w="4148"/>
      </w:tblGrid>
      <w:tr>
        <w:trPr>
          <w:trHeight w:val="234" w:hRule="atLeast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Number of hours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  <w:tr>
        <w:trPr>
          <w:trHeight w:val="515" w:hRule="atLeast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ind w:left="72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tabs>
          <w:tab w:val="clear" w:pos="708"/>
          <w:tab w:val="left" w:pos="284" w:leader="none"/>
        </w:tabs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>7. Instructional materials</w:t>
      </w:r>
    </w:p>
    <w:p>
      <w:pPr>
        <w:pStyle w:val="Punktygwne"/>
        <w:spacing w:before="0" w:after="0"/>
        <w:ind w:left="72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tbl>
      <w:tblPr>
        <w:tblW w:w="7992" w:type="dxa"/>
        <w:jc w:val="left"/>
        <w:tblInd w:w="35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92"/>
      </w:tblGrid>
      <w:tr>
        <w:trPr>
          <w:trHeight w:val="532" w:hRule="atLeast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Compulsory literature: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Times New Roman" w:ascii="Garuda" w:hAnsi="Garuda"/>
                <w:b w:val="false"/>
                <w:caps w:val="false"/>
                <w:smallCaps w:val="false"/>
                <w:sz w:val="20"/>
                <w:szCs w:val="20"/>
              </w:rPr>
              <w:t xml:space="preserve">Bakić-Hayden Milica, 1995, </w:t>
            </w:r>
            <w:r>
              <w:rPr>
                <w:rFonts w:cs="Times New Roman" w:ascii="Garuda" w:hAnsi="Garuda"/>
                <w:b w:val="false"/>
                <w:i/>
                <w:iCs/>
                <w:caps w:val="false"/>
                <w:smallCaps w:val="false"/>
                <w:sz w:val="20"/>
                <w:szCs w:val="20"/>
              </w:rPr>
              <w:t>Nesting Orientalisms: The Case of Former Yugoslavia</w:t>
            </w:r>
            <w:r>
              <w:rPr>
                <w:rFonts w:cs="Times New Roman" w:ascii="Garuda" w:hAnsi="Garuda"/>
                <w:b w:val="false"/>
                <w:caps w:val="false"/>
                <w:smallCaps w:val="false"/>
                <w:sz w:val="20"/>
                <w:szCs w:val="20"/>
              </w:rPr>
              <w:t>. „Slavic Review” 54 (4): 917–31.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Balibar E. (2009) Europe as Borderland, Environment and Planning D: Society and Space 27 (2) s. 190–215. doi:10.1068/d13008.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caps w:val="false"/>
                <w:smallCaps w:val="false"/>
                <w:sz w:val="20"/>
                <w:szCs w:val="20"/>
              </w:rPr>
              <w:t>Bhabha H. K (2010) Location of culture (any edition)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Bill S. (2014) Seeking the Authentic: Polish Culture and the Nature of Postcolonial Theory, NONsite.org, (online:) https://nonsite.org/seeking-the-authentic-polish-culture-and-the-nature-of-postcolonial-theory/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/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Etkind A. (2003)  Internal Colonization and Russian Cultural History, „Ulbandus”, 7, s. 17–25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Garuda" w:hAnsi="Garuda" w:cs="Corbel"/>
                <w:b w:val="false"/>
                <w:b w:val="false"/>
                <w:caps w:val="false"/>
                <w:smallCaps w:val="false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Kiossev A. (1995) Notes on Self-colonising Cultures (w:) Ginev D., Sejersted Fr.,  Simeonova K. (red.) Cultural Aspects of the Modernisation Process, Oslo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/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Said, E. W. (1991) Orientalizm. (any edition)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/>
            </w:pPr>
            <w:r>
              <w:rPr>
                <w:rStyle w:val="StrongEmphasis"/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Zarycki T. (2014) Ideologies of Eastness in Central and Eastern Europe, Routledge, London </w:t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</w:tr>
      <w:tr>
        <w:trPr>
          <w:trHeight w:val="532" w:hRule="atLeast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Bhabha Homi K, 1984, 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Of Mimicry and Man: The Ambivalence of Colonial Discourse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, „October” 28, s. 125-133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/>
              <w:rPr/>
            </w:pP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>Böröcz J. (2001),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 Introduction: Empire and Coloniality in the "Eastern Enlargement” of the European Union.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 [w:] Böröcz J, Kovács M. (red.)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>, Empire's New Clothes. Unveiling EU Enlargement,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 Holly Cottage: Central European Review, s. 4–5; dostępne też jako e-book: http://aei.pitt.edu/144/1/Empire.pdf (dostęp: 2017.01.20)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/>
              <w:rPr/>
            </w:pP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Böröcz J., 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 xml:space="preserve">From Comprador State to Auctioneer State: Property Change, Realignment, and Peripherialization in Post-state-socialist Central and Eastern Europe, </w:t>
            </w:r>
            <w:r>
              <w:rPr>
                <w:rStyle w:val="Emphasis"/>
                <w:rFonts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pl-PL" w:eastAsia="zh-CN" w:bidi="en-US"/>
              </w:rPr>
              <w:t>Routlege, London 1999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z w:val="20"/>
                <w:szCs w:val="20"/>
                <w:lang w:val="en-US"/>
              </w:rPr>
              <w:t xml:space="preserve">Böröcz Jozsef, 2012, 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/>
                <w:iCs w:val="false"/>
                <w:caps w:val="false"/>
                <w:smallCaps w:val="false"/>
                <w:color w:val="231F20"/>
                <w:sz w:val="20"/>
                <w:szCs w:val="20"/>
                <w:lang w:val="en-US"/>
              </w:rPr>
              <w:t>Hungary in the European Union: „Catching Up”, Forever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z w:val="20"/>
                <w:szCs w:val="20"/>
                <w:lang w:val="en-US"/>
              </w:rPr>
              <w:t>, „Economic &amp; Political Weekly”, XLVII(23) s. 22–25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Buchowski Michał, 2006,  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The Specter of Orientalism in Europe: From Exotic Other to Stigmatized Brother.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 Anthropological Quarterly, 79 (3): 463-482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Delanty, G. (1997) Inventig Europe. Idea, Identity, Reality, St. Martin Press, NY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Etkind A. (2003)  Internal Colonization and Russian Cultural History, „Ulbandus”, 7, s. 17–25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Fanon Fr. Black skin, white masks (any edition)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Garuda" w:hAnsi="Garuda"/>
                <w:sz w:val="20"/>
                <w:szCs w:val="20"/>
              </w:rPr>
            </w:pPr>
            <w:r>
              <w:rPr>
                <w:rFonts w:ascii="Garuda" w:hAnsi="Garuda"/>
                <w:b w:val="false"/>
                <w:bCs w:val="false"/>
                <w:sz w:val="20"/>
                <w:szCs w:val="20"/>
              </w:rPr>
              <w:t>Kiossev A. (1995) Notes on Self-colonising Cultures (w:) Ginev D., Sejersted Fr.,  Simeonova K. (red.) Cultural Aspects of the Modernisation Process, Oslo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 xml:space="preserve">Kiossev A. (2002) The Dark Intimacy: Maps, Identities, Acts of Identification, (w:) Bjelic D. I, Savic O. (red.) Balkan as Metaphor: Between Globalization and Fragmentation, MIT Press, bmw. DOI: 10.7551/mitpress/1508.001.0001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5"/>
                <w:sz w:val="20"/>
                <w:szCs w:val="20"/>
                <w:lang w:val="en-US" w:eastAsia="zh-CN" w:bidi="en-US"/>
              </w:rPr>
              <w:t>Kleberg L. (2006) In Search of Dracula or, Cultures in Dialogue, I. Brandell (red.), State Frontiers: Borders and Boundaries in the Middle East, I. B. Tauris, London pp. 187-198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Garuda" w:hAnsi="Garuda"/>
                <w:sz w:val="20"/>
                <w:szCs w:val="20"/>
              </w:rPr>
            </w:pPr>
            <w:r>
              <w:rPr>
                <w:rFonts w:ascii="Garuda" w:hAnsi="Garuda"/>
                <w:b w:val="false"/>
                <w:bCs w:val="false"/>
                <w:sz w:val="20"/>
                <w:szCs w:val="20"/>
              </w:rPr>
              <w:t>Melegh A. (2006). On the East-West slope. Globalization, narration, racism and discources on Central and Eastern Europe,  CEU Press,  Budapest, New York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Moore David C, 2001, 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Is the Post- in Postcolonial the Post- in Post-Soviet? Toward a Global Postcolonial Critique</w:t>
            </w: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, PMLA 116(1) s. 111-128 (online:) http://monumenttotransformation.org/atlas-of-transformation/html/p/postcolonial-post-soviet/is-the-post-in-postcolonial-the-post-in-post-soviet-toward-a-global-postcolonial-critique-david-chioni-moore.html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Garuda" w:hAnsi="Garuda"/>
                <w:sz w:val="20"/>
                <w:szCs w:val="20"/>
              </w:rPr>
            </w:pPr>
            <w:r>
              <w:rPr>
                <w:rFonts w:ascii="Garuda" w:hAnsi="Garuda"/>
                <w:b w:val="false"/>
                <w:bCs w:val="false"/>
                <w:sz w:val="20"/>
                <w:szCs w:val="20"/>
              </w:rPr>
              <w:t>Mycock A. (2010) British Identity and the Legacy of Empire, Open Democracy (online:) https://www.opendemocracy.net/en/opendemocracyuk/british-identity-and-legacy-of-empire/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Garuda" w:hAnsi="Garuda"/>
                <w:sz w:val="20"/>
                <w:szCs w:val="20"/>
              </w:rPr>
            </w:pPr>
            <w:r>
              <w:rPr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 xml:space="preserve">Nyman J. (2015) British Imaginings of a European Periphery: Roger Scruton, Michael Palin and Michael Booth in/on Finland, Journal of Postcolonial Writing, 51 (2), s. 144–157. doi:10.1080/17449855.2015.1011847.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Roy S. (2007) Beyond Belief: India and the Politics of Postcolonial Nationalism. Duke University Press, DOI:10.2307/j.ctv11smv98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Emphasis"/>
                <w:rFonts w:eastAsia="Arial CE" w:cs="Aria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pl-PL" w:eastAsia="zh-CN" w:bidi="en-US"/>
              </w:rPr>
              <w:t xml:space="preserve">Said E.W </w:t>
            </w:r>
            <w:r>
              <w:rPr>
                <w:rStyle w:val="Emphasis"/>
                <w:rFonts w:eastAsia="Arial CE" w:cs="Arial" w:ascii="Garuda" w:hAnsi="Garuda"/>
                <w:b w:val="false"/>
                <w:bCs w:val="false"/>
                <w:i/>
                <w:iCs/>
                <w:caps w:val="false"/>
                <w:smallCaps w:val="false"/>
                <w:color w:val="231F20"/>
                <w:spacing w:val="-15"/>
                <w:sz w:val="20"/>
                <w:szCs w:val="20"/>
                <w:lang w:val="pl-PL" w:eastAsia="zh-CN" w:bidi="en-US"/>
              </w:rPr>
              <w:t>The clash of ignorance</w:t>
            </w:r>
            <w:r>
              <w:rPr>
                <w:rStyle w:val="Emphasis"/>
                <w:rFonts w:eastAsia="Arial CE" w:cs="Aria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pl-PL" w:eastAsia="zh-CN" w:bidi="en-US"/>
              </w:rPr>
              <w:t>, The Nation 10.22.2001 [online: https://www.thenation.com/article/clash-ignorance/ ]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>
                <w:rStyle w:val="StrongEmphasis"/>
                <w:rFonts w:cs="Corbel" w:ascii="Garuda" w:hAnsi="Garuda"/>
                <w:b w:val="false"/>
                <w:bCs w:val="false"/>
                <w:caps w:val="false"/>
                <w:smallCaps w:val="false"/>
                <w:sz w:val="20"/>
                <w:szCs w:val="20"/>
              </w:rPr>
              <w:t>Sztompka P. (1993) Civilizational Incompetence: The Trap of Post-Communist Societies, Zeitschrift für Soziologie, 22/2, s. 85-95  DOI: 10.1515/zfsoz-1993-0201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Terlouw C.P. ,1993, </w:t>
            </w: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The Elusive Semiperiphery: A Critical Examination of the Concept Semiperiphery</w:t>
            </w: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, „International Journal of Comparative Sociology” Marzec, nr. 34 s. 87-102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/>
              <w:rPr/>
            </w:pP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 xml:space="preserve">Tlostanova Madina, 2012, </w:t>
            </w: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/>
                <w:iCs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Postsocialist ≠ postcolonial? On post-Soviet imaginary and global coloniality</w:t>
            </w:r>
            <w:r>
              <w:rPr>
                <w:rStyle w:val="Cytat"/>
                <w:rFonts w:eastAsia="Times New Roman" w:cs="Times New Roman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, „Journal of Postcolonial Writing”,48/2, s. 130-142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Style w:val="StrongEmphasis"/>
                <w:rFonts w:eastAsia="Times New Roman" w:cs="Corbel" w:ascii="Garuda" w:hAnsi="Garuda"/>
                <w:b w:val="false"/>
                <w:bCs w:val="false"/>
                <w:i w:val="false"/>
                <w:iCs w:val="false"/>
                <w:caps w:val="false"/>
                <w:smallCaps w:val="false"/>
                <w:color w:val="231F20"/>
                <w:spacing w:val="-15"/>
                <w:sz w:val="20"/>
                <w:szCs w:val="20"/>
                <w:lang w:val="en-US" w:eastAsia="zh-CN" w:bidi="en-US"/>
              </w:rPr>
              <w:t>Todorova M. (1994) The Balkans: From Discovery to Invention. Slavic Review, 53(2) s. 453-482 doi:10.2307/2501301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  <w:p>
            <w:pPr>
              <w:pStyle w:val="Punktygwne"/>
              <w:widowControl w:val="fals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  <w:t>Approved by the Head of the Department or an authorised person</w:t>
      </w:r>
    </w:p>
    <w:p>
      <w:pPr>
        <w:pStyle w:val="Normal"/>
        <w:rPr>
          <w:rFonts w:ascii="Corbel" w:hAnsi="Corbel"/>
          <w:color w:val="auto"/>
          <w:lang w:val="en-US"/>
        </w:rPr>
      </w:pPr>
      <w:r>
        <w:rPr>
          <w:rFonts w:ascii="Corbel" w:hAnsi="Corbel"/>
          <w:color w:val="auto"/>
          <w:lang w:val="en-US"/>
        </w:rPr>
      </w:r>
    </w:p>
    <w:p>
      <w:pPr>
        <w:pStyle w:val="Normal"/>
        <w:spacing w:before="0" w:after="200"/>
        <w:rPr>
          <w:rFonts w:ascii="Corbel" w:hAnsi="Corbel"/>
          <w:color w:val="auto"/>
          <w:lang w:val="en-US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rbel">
    <w:charset w:val="01"/>
    <w:family w:val="roman"/>
    <w:pitch w:val="variable"/>
  </w:font>
  <w:font w:name="Garuda">
    <w:altName w:val="angsana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310d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00000A"/>
      <w:kern w:val="0"/>
      <w:sz w:val="24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Footer"/>
    <w:uiPriority w:val="99"/>
    <w:qFormat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qFormat/>
    <w:rsid w:val="00b3310d"/>
    <w:rPr/>
  </w:style>
  <w:style w:type="character" w:styleId="TekstpodstawowyZnak" w:customStyle="1">
    <w:name w:val="Tekst podstawowy Znak"/>
    <w:basedOn w:val="DefaultParagraphFont"/>
    <w:link w:val="Tretekstu"/>
    <w:uiPriority w:val="99"/>
    <w:semiHidden/>
    <w:qFormat/>
    <w:rsid w:val="00b3310d"/>
    <w:rPr>
      <w:rFonts w:eastAsia="Calibri"/>
      <w:szCs w:val="2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3ea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83ea7"/>
    <w:rPr>
      <w:rFonts w:eastAsia="Calibri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83ea7"/>
    <w:rPr>
      <w:rFonts w:eastAsia="Calibri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83ea7"/>
    <w:rPr>
      <w:rFonts w:ascii="Tahoma" w:hAnsi="Tahoma" w:eastAsia="Calibri" w:cs="Tahoma"/>
      <w:sz w:val="16"/>
      <w:szCs w:val="16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Cytat">
    <w:name w:val="Cytat"/>
    <w:qFormat/>
    <w:rPr>
      <w:i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next w:val="Tretekstu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Treść tekstu"/>
    <w:basedOn w:val="Normal"/>
    <w:link w:val="TekstpodstawowyZnak"/>
    <w:uiPriority w:val="99"/>
    <w:semiHidden/>
    <w:unhideWhenUsed/>
    <w:qFormat/>
    <w:rsid w:val="00b3310d"/>
    <w:pPr>
      <w:spacing w:lineRule="auto" w:line="288" w:before="0" w:after="120"/>
    </w:pPr>
    <w:rPr/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spacing w:before="0" w:after="200"/>
      <w:ind w:left="720" w:hanging="0"/>
      <w:contextualSpacing/>
    </w:pPr>
    <w:rPr/>
  </w:style>
  <w:style w:type="paragraph" w:styleId="Footer">
    <w:name w:val="Footer"/>
    <w:basedOn w:val="Normal"/>
    <w:link w:val="StopkaZnak"/>
    <w:uiPriority w:val="99"/>
    <w:rsid w:val="00b3310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unktygwne" w:customStyle="1">
    <w:name w:val="Punkty główne"/>
    <w:basedOn w:val="Normal"/>
    <w:qFormat/>
    <w:rsid w:val="00b3310d"/>
    <w:pPr>
      <w:spacing w:lineRule="auto" w:line="240" w:before="240" w:after="60"/>
    </w:pPr>
    <w:rPr>
      <w:b/>
      <w:smallCaps/>
    </w:rPr>
  </w:style>
  <w:style w:type="paragraph" w:styleId="Pytania" w:customStyle="1">
    <w:name w:val="Pytania"/>
    <w:basedOn w:val="Tretekstu"/>
    <w:qFormat/>
    <w:rsid w:val="00b3310d"/>
    <w:pPr>
      <w:tabs>
        <w:tab w:val="clear" w:pos="708"/>
        <w:tab w:val="left" w:pos="-5643" w:leader="none"/>
      </w:tabs>
      <w:overflowPunct w:val="true"/>
      <w:spacing w:lineRule="auto" w:line="240" w:before="40" w:after="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styleId="Odpowiedzi" w:customStyle="1">
    <w:name w:val="Odpowiedzi"/>
    <w:basedOn w:val="Normal"/>
    <w:qFormat/>
    <w:rsid w:val="00b3310d"/>
    <w:pPr>
      <w:spacing w:lineRule="auto" w:line="240" w:before="40" w:after="40"/>
    </w:pPr>
    <w:rPr>
      <w:b/>
      <w:color w:val="000000"/>
      <w:sz w:val="20"/>
    </w:rPr>
  </w:style>
  <w:style w:type="paragraph" w:styleId="Podpunkty" w:customStyle="1">
    <w:name w:val="Podpunkty"/>
    <w:basedOn w:val="Tretekstu"/>
    <w:qFormat/>
    <w:rsid w:val="00b3310d"/>
    <w:pPr>
      <w:tabs>
        <w:tab w:val="clear" w:pos="708"/>
        <w:tab w:val="left" w:pos="-5814" w:leader="none"/>
      </w:tabs>
      <w:overflowPunct w:val="true"/>
      <w:spacing w:lineRule="auto" w:line="240" w:before="0" w:after="0"/>
      <w:ind w:left="360" w:hanging="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styleId="Cele" w:customStyle="1">
    <w:name w:val="Cele"/>
    <w:basedOn w:val="Tretekstu"/>
    <w:qFormat/>
    <w:rsid w:val="00b3310d"/>
    <w:pPr>
      <w:tabs>
        <w:tab w:val="clear" w:pos="708"/>
        <w:tab w:val="left" w:pos="-5814" w:leader="none"/>
        <w:tab w:val="left" w:pos="720" w:leader="none"/>
      </w:tabs>
      <w:overflowPunct w:val="true"/>
      <w:spacing w:lineRule="auto" w:line="240" w:before="120" w:after="0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styleId="Nagwkitablic" w:customStyle="1">
    <w:name w:val="Nagłówki tablic"/>
    <w:basedOn w:val="Tretekstu"/>
    <w:uiPriority w:val="99"/>
    <w:qFormat/>
    <w:rsid w:val="00b3310d"/>
    <w:pPr/>
    <w:rPr/>
  </w:style>
  <w:style w:type="paragraph" w:styleId="Centralniewrubryce" w:customStyle="1">
    <w:name w:val="centralnie w rubryce"/>
    <w:basedOn w:val="Normal"/>
    <w:qFormat/>
    <w:rsid w:val="00b3310d"/>
    <w:pPr>
      <w:tabs>
        <w:tab w:val="clear" w:pos="708"/>
        <w:tab w:val="left" w:pos="-5814" w:leader="none"/>
      </w:tabs>
      <w:overflowPunct w:val="true"/>
      <w:spacing w:lineRule="auto" w:line="240" w:before="40" w:after="40"/>
      <w:jc w:val="center"/>
    </w:pPr>
    <w:rPr>
      <w:rFonts w:eastAsia="Times New Roman"/>
      <w:sz w:val="20"/>
      <w:szCs w:val="20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83ea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783ea7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83e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3310d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LibreOffice/7.3.7.2$Linux_X86_64 LibreOffice_project/30$Build-2</Application>
  <AppVersion>15.0000</AppVersion>
  <Pages>7</Pages>
  <Words>1235</Words>
  <Characters>7907</Characters>
  <CharactersWithSpaces>9405</CharactersWithSpaces>
  <Paragraphs>165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2024-01-10T10:24:00Z</dcterms:created>
  <dc:creator>User</dc:creator>
  <dc:description/>
  <dc:language>pl-PL</dc:language>
  <cp:lastModifiedBy/>
  <cp:lastPrinted>2024-01-10T10:21:00Z</cp:lastPrinted>
  <dcterms:modified xsi:type="dcterms:W3CDTF">2025-02-20T18:17:33Z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