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78C9D" w14:textId="77777777" w:rsidR="005E0F9D" w:rsidRPr="002635FE" w:rsidRDefault="005E0F9D" w:rsidP="005E0F9D">
      <w:pPr>
        <w:spacing w:before="3"/>
        <w:ind w:left="5670" w:hanging="425"/>
        <w:rPr>
          <w:rFonts w:eastAsia="Corbel"/>
          <w:i/>
          <w:sz w:val="22"/>
          <w:szCs w:val="22"/>
        </w:rPr>
      </w:pPr>
      <w:r w:rsidRPr="002635FE">
        <w:rPr>
          <w:rFonts w:eastAsia="Corbel"/>
          <w:i/>
          <w:sz w:val="22"/>
          <w:szCs w:val="22"/>
        </w:rPr>
        <w:t>Annex No. 1 to Resolution No. 11/02/2024</w:t>
      </w:r>
    </w:p>
    <w:p w14:paraId="4A9A0773" w14:textId="77777777" w:rsidR="005E0F9D" w:rsidRPr="002635FE" w:rsidRDefault="005E0F9D" w:rsidP="005E0F9D">
      <w:pPr>
        <w:spacing w:before="3"/>
        <w:ind w:left="4395"/>
        <w:rPr>
          <w:rFonts w:eastAsia="Corbel"/>
          <w:i/>
          <w:sz w:val="22"/>
          <w:szCs w:val="22"/>
        </w:rPr>
      </w:pPr>
      <w:r w:rsidRPr="002635FE">
        <w:rPr>
          <w:rFonts w:eastAsia="Corbel"/>
          <w:i/>
          <w:sz w:val="22"/>
          <w:szCs w:val="22"/>
        </w:rPr>
        <w:t>Teaching Council of the KNM of February 15,</w:t>
      </w:r>
      <w:r>
        <w:rPr>
          <w:rFonts w:eastAsia="Corbel"/>
          <w:i/>
          <w:sz w:val="22"/>
          <w:szCs w:val="22"/>
        </w:rPr>
        <w:t xml:space="preserve"> 2024</w:t>
      </w:r>
      <w:r w:rsidRPr="002635FE">
        <w:rPr>
          <w:rFonts w:eastAsia="Corbel"/>
          <w:i/>
          <w:sz w:val="22"/>
          <w:szCs w:val="22"/>
        </w:rPr>
        <w:t xml:space="preserve"> </w:t>
      </w:r>
    </w:p>
    <w:p w14:paraId="121CAB42" w14:textId="77777777" w:rsidR="005E0F9D" w:rsidRPr="002635FE" w:rsidRDefault="005E0F9D" w:rsidP="005E0F9D">
      <w:pPr>
        <w:spacing w:before="9" w:line="120" w:lineRule="exact"/>
        <w:rPr>
          <w:sz w:val="22"/>
          <w:szCs w:val="22"/>
        </w:rPr>
      </w:pPr>
    </w:p>
    <w:p w14:paraId="70E2CCB4" w14:textId="77777777" w:rsidR="005E0F9D" w:rsidRPr="002635FE" w:rsidRDefault="005E0F9D" w:rsidP="005E0F9D">
      <w:pPr>
        <w:spacing w:line="200" w:lineRule="exact"/>
        <w:rPr>
          <w:sz w:val="22"/>
          <w:szCs w:val="22"/>
        </w:rPr>
      </w:pPr>
    </w:p>
    <w:p w14:paraId="47D40B67" w14:textId="4159A108" w:rsidR="005E0F9D" w:rsidRPr="002635FE" w:rsidRDefault="005E0F9D" w:rsidP="005E0F9D">
      <w:pPr>
        <w:spacing w:before="53"/>
        <w:ind w:right="35"/>
        <w:jc w:val="center"/>
        <w:rPr>
          <w:rFonts w:eastAsia="Corbel"/>
          <w:b/>
          <w:w w:val="99"/>
          <w:sz w:val="22"/>
          <w:szCs w:val="22"/>
        </w:rPr>
      </w:pPr>
      <w:r w:rsidRPr="002635FE">
        <w:rPr>
          <w:rFonts w:eastAsia="Corbel"/>
          <w:b/>
          <w:w w:val="99"/>
          <w:sz w:val="22"/>
          <w:szCs w:val="22"/>
        </w:rPr>
        <w:t>Detailed conditions for transfer to individual fields of study at the</w:t>
      </w:r>
      <w:r w:rsidR="006A26E4">
        <w:rPr>
          <w:rFonts w:eastAsia="Corbel"/>
          <w:b/>
          <w:w w:val="99"/>
          <w:sz w:val="22"/>
          <w:szCs w:val="22"/>
        </w:rPr>
        <w:t xml:space="preserve"> </w:t>
      </w:r>
      <w:r w:rsidR="006A26E4" w:rsidRPr="002635FE">
        <w:rPr>
          <w:rFonts w:eastAsia="Corbel"/>
          <w:b/>
          <w:w w:val="99"/>
          <w:sz w:val="22"/>
          <w:szCs w:val="22"/>
        </w:rPr>
        <w:t>Medical</w:t>
      </w:r>
      <w:r w:rsidRPr="002635FE">
        <w:rPr>
          <w:rFonts w:eastAsia="Corbel"/>
          <w:b/>
          <w:w w:val="99"/>
          <w:sz w:val="22"/>
          <w:szCs w:val="22"/>
        </w:rPr>
        <w:t xml:space="preserve"> College </w:t>
      </w:r>
      <w:r w:rsidR="006A26E4">
        <w:rPr>
          <w:rFonts w:eastAsia="Corbel"/>
          <w:b/>
          <w:w w:val="99"/>
          <w:sz w:val="22"/>
          <w:szCs w:val="22"/>
        </w:rPr>
        <w:t xml:space="preserve">of the </w:t>
      </w:r>
      <w:r w:rsidRPr="002635FE">
        <w:rPr>
          <w:rFonts w:eastAsia="Corbel"/>
          <w:b/>
          <w:w w:val="99"/>
          <w:sz w:val="22"/>
          <w:szCs w:val="22"/>
        </w:rPr>
        <w:t xml:space="preserve">University of </w:t>
      </w:r>
      <w:r w:rsidR="006A26E4">
        <w:rPr>
          <w:rFonts w:eastAsia="Corbel"/>
          <w:b/>
          <w:w w:val="99"/>
          <w:sz w:val="22"/>
          <w:szCs w:val="22"/>
        </w:rPr>
        <w:t>Rzeszów</w:t>
      </w:r>
      <w:r w:rsidRPr="002635FE">
        <w:rPr>
          <w:rFonts w:eastAsia="Corbel"/>
          <w:b/>
          <w:w w:val="99"/>
          <w:sz w:val="22"/>
          <w:szCs w:val="22"/>
        </w:rPr>
        <w:t xml:space="preserve"> from another university or a foreign university</w:t>
      </w:r>
    </w:p>
    <w:p w14:paraId="2CC64B8E" w14:textId="77777777" w:rsidR="005E0F9D" w:rsidRPr="002635FE" w:rsidRDefault="005E0F9D" w:rsidP="005E0F9D">
      <w:pPr>
        <w:spacing w:before="53"/>
        <w:ind w:right="35"/>
        <w:jc w:val="center"/>
        <w:rPr>
          <w:rFonts w:eastAsia="Corbel"/>
          <w:b/>
          <w:w w:val="99"/>
          <w:sz w:val="22"/>
          <w:szCs w:val="22"/>
        </w:rPr>
      </w:pPr>
    </w:p>
    <w:tbl>
      <w:tblPr>
        <w:tblStyle w:val="Tabela-Siatka"/>
        <w:tblW w:w="0" w:type="auto"/>
        <w:tblLook w:val="04A0" w:firstRow="1" w:lastRow="0" w:firstColumn="1" w:lastColumn="0" w:noHBand="0" w:noVBand="1"/>
      </w:tblPr>
      <w:tblGrid>
        <w:gridCol w:w="2465"/>
        <w:gridCol w:w="6597"/>
      </w:tblGrid>
      <w:tr w:rsidR="005E0F9D" w:rsidRPr="002635FE" w14:paraId="5603FDCF" w14:textId="77777777" w:rsidTr="00A67EC7">
        <w:tc>
          <w:tcPr>
            <w:tcW w:w="2547" w:type="dxa"/>
          </w:tcPr>
          <w:p w14:paraId="4E4D57F5" w14:textId="77777777" w:rsidR="005E0F9D" w:rsidRPr="002635FE" w:rsidRDefault="005E0F9D" w:rsidP="00A67EC7">
            <w:pPr>
              <w:spacing w:before="53"/>
              <w:ind w:right="35"/>
              <w:jc w:val="center"/>
              <w:rPr>
                <w:rFonts w:asciiTheme="minorHAnsi" w:eastAsia="Corbel" w:hAnsiTheme="minorHAnsi" w:cstheme="minorHAnsi"/>
                <w:b/>
                <w:w w:val="99"/>
                <w:sz w:val="22"/>
                <w:szCs w:val="22"/>
              </w:rPr>
            </w:pPr>
            <w:r w:rsidRPr="002635FE">
              <w:rPr>
                <w:rFonts w:asciiTheme="minorHAnsi" w:eastAsia="Corbel" w:hAnsiTheme="minorHAnsi" w:cstheme="minorHAnsi"/>
                <w:b/>
                <w:sz w:val="22"/>
                <w:szCs w:val="22"/>
              </w:rPr>
              <w:t xml:space="preserve">      FIELD OF STUDY</w:t>
            </w:r>
          </w:p>
        </w:tc>
        <w:tc>
          <w:tcPr>
            <w:tcW w:w="7087" w:type="dxa"/>
          </w:tcPr>
          <w:p w14:paraId="083435E3" w14:textId="77777777" w:rsidR="005E0F9D" w:rsidRPr="002635FE" w:rsidRDefault="005E0F9D" w:rsidP="00A67EC7">
            <w:pPr>
              <w:spacing w:before="53"/>
              <w:ind w:right="35"/>
              <w:jc w:val="center"/>
              <w:rPr>
                <w:rFonts w:eastAsia="Corbel"/>
                <w:b/>
                <w:w w:val="99"/>
                <w:sz w:val="22"/>
                <w:szCs w:val="22"/>
              </w:rPr>
            </w:pPr>
            <w:r w:rsidRPr="002635FE">
              <w:rPr>
                <w:rFonts w:eastAsia="Corbel"/>
                <w:b/>
                <w:sz w:val="22"/>
                <w:szCs w:val="22"/>
              </w:rPr>
              <w:t>DETAILED CONDITIONS OF ADMISSION BY TRANSFER</w:t>
            </w:r>
          </w:p>
        </w:tc>
      </w:tr>
      <w:tr w:rsidR="005E0F9D" w:rsidRPr="002635FE" w14:paraId="56D60A56" w14:textId="77777777" w:rsidTr="00A67EC7">
        <w:tc>
          <w:tcPr>
            <w:tcW w:w="2547" w:type="dxa"/>
          </w:tcPr>
          <w:p w14:paraId="722CDED0" w14:textId="77777777" w:rsidR="005E0F9D" w:rsidRDefault="005E0F9D" w:rsidP="00A67EC7">
            <w:pPr>
              <w:spacing w:before="53"/>
              <w:ind w:right="35"/>
              <w:jc w:val="center"/>
              <w:rPr>
                <w:rFonts w:asciiTheme="minorHAnsi" w:eastAsia="Corbel" w:hAnsiTheme="minorHAnsi" w:cstheme="minorHAnsi"/>
                <w:w w:val="99"/>
                <w:sz w:val="22"/>
                <w:szCs w:val="22"/>
              </w:rPr>
            </w:pPr>
          </w:p>
          <w:p w14:paraId="3E6CD1FD" w14:textId="77777777" w:rsidR="005E0F9D" w:rsidRPr="002635FE" w:rsidRDefault="005E0F9D" w:rsidP="006A26E4">
            <w:pPr>
              <w:spacing w:before="53"/>
              <w:ind w:right="35"/>
              <w:rPr>
                <w:rFonts w:asciiTheme="minorHAnsi" w:eastAsia="Corbel" w:hAnsiTheme="minorHAnsi" w:cstheme="minorHAnsi"/>
                <w:w w:val="99"/>
                <w:sz w:val="22"/>
                <w:szCs w:val="22"/>
              </w:rPr>
            </w:pPr>
            <w:r w:rsidRPr="002635FE">
              <w:rPr>
                <w:rFonts w:asciiTheme="minorHAnsi" w:eastAsia="Corbel" w:hAnsiTheme="minorHAnsi" w:cstheme="minorHAnsi"/>
                <w:w w:val="99"/>
                <w:sz w:val="22"/>
                <w:szCs w:val="22"/>
              </w:rPr>
              <w:t>Dietetics first and second cycle studies</w:t>
            </w:r>
          </w:p>
          <w:p w14:paraId="6FC0BDA2" w14:textId="77777777" w:rsidR="005E0F9D" w:rsidRDefault="005E0F9D" w:rsidP="006A26E4">
            <w:pPr>
              <w:spacing w:before="53"/>
              <w:ind w:right="35"/>
              <w:rPr>
                <w:rFonts w:asciiTheme="minorHAnsi" w:eastAsia="Corbel" w:hAnsiTheme="minorHAnsi" w:cstheme="minorHAnsi"/>
                <w:w w:val="99"/>
                <w:sz w:val="22"/>
                <w:szCs w:val="22"/>
              </w:rPr>
            </w:pPr>
          </w:p>
          <w:p w14:paraId="5037F12D" w14:textId="77777777" w:rsidR="00EB5847" w:rsidRPr="002635FE" w:rsidRDefault="00EB5847" w:rsidP="006A26E4">
            <w:pPr>
              <w:spacing w:before="53"/>
              <w:ind w:right="35"/>
              <w:rPr>
                <w:rFonts w:asciiTheme="minorHAnsi" w:eastAsia="Corbel" w:hAnsiTheme="minorHAnsi" w:cstheme="minorHAnsi"/>
                <w:w w:val="99"/>
                <w:sz w:val="22"/>
                <w:szCs w:val="22"/>
              </w:rPr>
            </w:pPr>
          </w:p>
          <w:p w14:paraId="0D2C38F9" w14:textId="77777777" w:rsidR="005E0F9D" w:rsidRPr="002635FE" w:rsidRDefault="005E0F9D" w:rsidP="006A26E4">
            <w:pPr>
              <w:spacing w:before="53"/>
              <w:ind w:right="35"/>
              <w:rPr>
                <w:rFonts w:asciiTheme="minorHAnsi" w:eastAsia="Corbel" w:hAnsiTheme="minorHAnsi" w:cstheme="minorHAnsi"/>
                <w:w w:val="99"/>
                <w:sz w:val="22"/>
                <w:szCs w:val="22"/>
              </w:rPr>
            </w:pPr>
            <w:proofErr w:type="spellStart"/>
            <w:r w:rsidRPr="002635FE">
              <w:rPr>
                <w:rFonts w:asciiTheme="minorHAnsi" w:eastAsia="Corbel" w:hAnsiTheme="minorHAnsi" w:cstheme="minorHAnsi"/>
                <w:w w:val="99"/>
                <w:sz w:val="22"/>
                <w:szCs w:val="22"/>
              </w:rPr>
              <w:t>Electroradiology</w:t>
            </w:r>
            <w:proofErr w:type="spellEnd"/>
            <w:r w:rsidRPr="002635FE">
              <w:rPr>
                <w:rFonts w:asciiTheme="minorHAnsi" w:eastAsia="Corbel" w:hAnsiTheme="minorHAnsi" w:cstheme="minorHAnsi"/>
                <w:w w:val="99"/>
                <w:sz w:val="22"/>
                <w:szCs w:val="22"/>
              </w:rPr>
              <w:t>, first-cycle studies</w:t>
            </w:r>
          </w:p>
          <w:p w14:paraId="749251F7" w14:textId="77777777" w:rsidR="005E0F9D" w:rsidRDefault="005E0F9D" w:rsidP="006A26E4">
            <w:pPr>
              <w:spacing w:before="53"/>
              <w:ind w:right="35"/>
              <w:rPr>
                <w:rFonts w:asciiTheme="minorHAnsi" w:eastAsia="Corbel" w:hAnsiTheme="minorHAnsi" w:cstheme="minorHAnsi"/>
                <w:w w:val="99"/>
                <w:sz w:val="22"/>
                <w:szCs w:val="22"/>
              </w:rPr>
            </w:pPr>
          </w:p>
          <w:p w14:paraId="2C5F62B3" w14:textId="77777777" w:rsidR="00EB5847" w:rsidRPr="002635FE" w:rsidRDefault="00EB5847" w:rsidP="006A26E4">
            <w:pPr>
              <w:spacing w:before="53"/>
              <w:ind w:right="35"/>
              <w:rPr>
                <w:rFonts w:asciiTheme="minorHAnsi" w:eastAsia="Corbel" w:hAnsiTheme="minorHAnsi" w:cstheme="minorHAnsi"/>
                <w:w w:val="99"/>
                <w:sz w:val="22"/>
                <w:szCs w:val="22"/>
              </w:rPr>
            </w:pPr>
          </w:p>
          <w:p w14:paraId="625A2B24" w14:textId="77777777" w:rsidR="005E0F9D" w:rsidRPr="002635FE" w:rsidRDefault="005E0F9D" w:rsidP="006A26E4">
            <w:pPr>
              <w:spacing w:before="53"/>
              <w:ind w:right="35"/>
              <w:rPr>
                <w:rFonts w:asciiTheme="minorHAnsi" w:eastAsia="Corbel" w:hAnsiTheme="minorHAnsi" w:cstheme="minorHAnsi"/>
                <w:w w:val="99"/>
                <w:sz w:val="22"/>
                <w:szCs w:val="22"/>
              </w:rPr>
            </w:pPr>
            <w:r w:rsidRPr="002635FE">
              <w:rPr>
                <w:rFonts w:asciiTheme="minorHAnsi" w:eastAsia="Corbel" w:hAnsiTheme="minorHAnsi" w:cstheme="minorHAnsi"/>
                <w:w w:val="99"/>
                <w:sz w:val="22"/>
                <w:szCs w:val="22"/>
              </w:rPr>
              <w:t>Physiotherapy, second-cycle studies, long-cycle master's studies</w:t>
            </w:r>
          </w:p>
          <w:p w14:paraId="3835F42C" w14:textId="77777777" w:rsidR="005E0F9D" w:rsidRDefault="005E0F9D" w:rsidP="006A26E4">
            <w:pPr>
              <w:spacing w:before="53"/>
              <w:ind w:right="35"/>
              <w:rPr>
                <w:rFonts w:asciiTheme="minorHAnsi" w:eastAsia="Corbel" w:hAnsiTheme="minorHAnsi" w:cstheme="minorHAnsi"/>
                <w:w w:val="99"/>
                <w:sz w:val="22"/>
                <w:szCs w:val="22"/>
              </w:rPr>
            </w:pPr>
          </w:p>
          <w:p w14:paraId="08E50BA3" w14:textId="77777777" w:rsidR="00EB5847" w:rsidRPr="002635FE" w:rsidRDefault="00EB5847" w:rsidP="006A26E4">
            <w:pPr>
              <w:spacing w:before="53"/>
              <w:ind w:right="35"/>
              <w:rPr>
                <w:rFonts w:asciiTheme="minorHAnsi" w:eastAsia="Corbel" w:hAnsiTheme="minorHAnsi" w:cstheme="minorHAnsi"/>
                <w:w w:val="99"/>
                <w:sz w:val="22"/>
                <w:szCs w:val="22"/>
              </w:rPr>
            </w:pPr>
          </w:p>
          <w:p w14:paraId="55FC22E9" w14:textId="77777777" w:rsidR="005E0F9D" w:rsidRPr="002635FE" w:rsidRDefault="005E0F9D" w:rsidP="006A26E4">
            <w:pPr>
              <w:spacing w:before="53"/>
              <w:ind w:right="35"/>
              <w:rPr>
                <w:rFonts w:asciiTheme="minorHAnsi" w:eastAsia="Corbel" w:hAnsiTheme="minorHAnsi" w:cstheme="minorHAnsi"/>
                <w:w w:val="99"/>
                <w:sz w:val="22"/>
                <w:szCs w:val="22"/>
              </w:rPr>
            </w:pPr>
            <w:r w:rsidRPr="002635FE">
              <w:rPr>
                <w:rFonts w:asciiTheme="minorHAnsi" w:eastAsia="Corbel" w:hAnsiTheme="minorHAnsi" w:cstheme="minorHAnsi"/>
                <w:w w:val="99"/>
                <w:sz w:val="22"/>
                <w:szCs w:val="22"/>
              </w:rPr>
              <w:t>Medical field, uniform master's studies</w:t>
            </w:r>
          </w:p>
          <w:p w14:paraId="44D43569" w14:textId="77777777" w:rsidR="005E0F9D" w:rsidRPr="002635FE" w:rsidRDefault="005E0F9D" w:rsidP="006A26E4">
            <w:pPr>
              <w:spacing w:before="53"/>
              <w:ind w:right="35"/>
              <w:rPr>
                <w:rFonts w:asciiTheme="minorHAnsi" w:eastAsia="Corbel" w:hAnsiTheme="minorHAnsi" w:cstheme="minorHAnsi"/>
                <w:w w:val="99"/>
                <w:sz w:val="22"/>
                <w:szCs w:val="22"/>
              </w:rPr>
            </w:pPr>
          </w:p>
          <w:p w14:paraId="1C11E526" w14:textId="77777777" w:rsidR="005E0F9D" w:rsidRPr="002635FE" w:rsidRDefault="005E0F9D" w:rsidP="006A26E4">
            <w:pPr>
              <w:spacing w:before="53"/>
              <w:ind w:right="35"/>
              <w:rPr>
                <w:rFonts w:asciiTheme="minorHAnsi" w:eastAsia="Corbel" w:hAnsiTheme="minorHAnsi" w:cstheme="minorHAnsi"/>
                <w:w w:val="99"/>
                <w:sz w:val="22"/>
                <w:szCs w:val="22"/>
              </w:rPr>
            </w:pPr>
            <w:r w:rsidRPr="002635FE">
              <w:rPr>
                <w:rFonts w:asciiTheme="minorHAnsi" w:eastAsia="Corbel" w:hAnsiTheme="minorHAnsi" w:cstheme="minorHAnsi"/>
                <w:w w:val="99"/>
                <w:sz w:val="22"/>
                <w:szCs w:val="22"/>
              </w:rPr>
              <w:t>Nursing first and second cycle studies</w:t>
            </w:r>
          </w:p>
          <w:p w14:paraId="75909AC6" w14:textId="77777777" w:rsidR="005E0F9D" w:rsidRPr="002635FE" w:rsidRDefault="005E0F9D" w:rsidP="006A26E4">
            <w:pPr>
              <w:spacing w:before="53"/>
              <w:ind w:right="35"/>
              <w:rPr>
                <w:rFonts w:asciiTheme="minorHAnsi" w:eastAsia="Corbel" w:hAnsiTheme="minorHAnsi" w:cstheme="minorHAnsi"/>
                <w:w w:val="99"/>
                <w:sz w:val="22"/>
                <w:szCs w:val="22"/>
              </w:rPr>
            </w:pPr>
          </w:p>
          <w:p w14:paraId="478E9212" w14:textId="77777777" w:rsidR="005E0F9D" w:rsidRPr="002635FE" w:rsidRDefault="005E0F9D" w:rsidP="006A26E4">
            <w:pPr>
              <w:spacing w:before="53"/>
              <w:ind w:right="35"/>
              <w:rPr>
                <w:rFonts w:asciiTheme="minorHAnsi" w:eastAsia="Corbel" w:hAnsiTheme="minorHAnsi" w:cstheme="minorHAnsi"/>
                <w:w w:val="99"/>
                <w:sz w:val="22"/>
                <w:szCs w:val="22"/>
              </w:rPr>
            </w:pPr>
            <w:r w:rsidRPr="002635FE">
              <w:rPr>
                <w:rFonts w:asciiTheme="minorHAnsi" w:eastAsia="Corbel" w:hAnsiTheme="minorHAnsi" w:cstheme="minorHAnsi"/>
                <w:w w:val="99"/>
                <w:sz w:val="22"/>
                <w:szCs w:val="22"/>
              </w:rPr>
              <w:t>Obstetrics first and second cycle studies</w:t>
            </w:r>
          </w:p>
          <w:p w14:paraId="438684FF" w14:textId="77777777" w:rsidR="005E0F9D" w:rsidRPr="002635FE" w:rsidRDefault="005E0F9D" w:rsidP="006A26E4">
            <w:pPr>
              <w:spacing w:before="53"/>
              <w:ind w:right="35"/>
              <w:rPr>
                <w:rFonts w:asciiTheme="minorHAnsi" w:eastAsia="Corbel" w:hAnsiTheme="minorHAnsi" w:cstheme="minorHAnsi"/>
                <w:w w:val="99"/>
                <w:sz w:val="22"/>
                <w:szCs w:val="22"/>
              </w:rPr>
            </w:pPr>
          </w:p>
          <w:p w14:paraId="1AA8F6EB" w14:textId="77777777" w:rsidR="005E0F9D" w:rsidRPr="002635FE" w:rsidRDefault="005E0F9D" w:rsidP="006A26E4">
            <w:pPr>
              <w:spacing w:before="53"/>
              <w:ind w:right="35"/>
              <w:rPr>
                <w:rFonts w:asciiTheme="minorHAnsi" w:eastAsia="Corbel" w:hAnsiTheme="minorHAnsi" w:cstheme="minorHAnsi"/>
                <w:w w:val="99"/>
                <w:sz w:val="22"/>
                <w:szCs w:val="22"/>
              </w:rPr>
            </w:pPr>
            <w:r w:rsidRPr="002635FE">
              <w:rPr>
                <w:rFonts w:asciiTheme="minorHAnsi" w:eastAsia="Corbel" w:hAnsiTheme="minorHAnsi" w:cstheme="minorHAnsi"/>
                <w:w w:val="99"/>
                <w:sz w:val="22"/>
                <w:szCs w:val="22"/>
              </w:rPr>
              <w:t>First-cycle studies in emergency medical services</w:t>
            </w:r>
          </w:p>
          <w:p w14:paraId="5F154566" w14:textId="77777777" w:rsidR="005E0F9D" w:rsidRPr="002635FE" w:rsidRDefault="005E0F9D" w:rsidP="006A26E4">
            <w:pPr>
              <w:spacing w:before="53"/>
              <w:ind w:right="35"/>
              <w:rPr>
                <w:rFonts w:asciiTheme="minorHAnsi" w:eastAsia="Corbel" w:hAnsiTheme="minorHAnsi" w:cstheme="minorHAnsi"/>
                <w:w w:val="99"/>
                <w:sz w:val="22"/>
                <w:szCs w:val="22"/>
              </w:rPr>
            </w:pPr>
          </w:p>
          <w:p w14:paraId="4E144474" w14:textId="77777777" w:rsidR="005E0F9D" w:rsidRPr="002635FE" w:rsidRDefault="005E0F9D" w:rsidP="006A26E4">
            <w:pPr>
              <w:spacing w:before="53"/>
              <w:ind w:right="35"/>
              <w:rPr>
                <w:rFonts w:asciiTheme="minorHAnsi" w:eastAsia="Corbel" w:hAnsiTheme="minorHAnsi" w:cstheme="minorHAnsi"/>
                <w:w w:val="99"/>
                <w:sz w:val="22"/>
                <w:szCs w:val="22"/>
              </w:rPr>
            </w:pPr>
            <w:r w:rsidRPr="002635FE">
              <w:rPr>
                <w:rFonts w:asciiTheme="minorHAnsi" w:eastAsia="Corbel" w:hAnsiTheme="minorHAnsi" w:cstheme="minorHAnsi"/>
                <w:w w:val="99"/>
                <w:sz w:val="22"/>
                <w:szCs w:val="22"/>
              </w:rPr>
              <w:t>Tourism and recreation, first and second cycle studies</w:t>
            </w:r>
          </w:p>
          <w:p w14:paraId="7A92ED47" w14:textId="77777777" w:rsidR="005E0F9D" w:rsidRPr="002635FE" w:rsidRDefault="005E0F9D" w:rsidP="006A26E4">
            <w:pPr>
              <w:spacing w:before="53"/>
              <w:ind w:right="35"/>
              <w:rPr>
                <w:rFonts w:asciiTheme="minorHAnsi" w:eastAsia="Corbel" w:hAnsiTheme="minorHAnsi" w:cstheme="minorHAnsi"/>
                <w:w w:val="99"/>
                <w:sz w:val="22"/>
                <w:szCs w:val="22"/>
              </w:rPr>
            </w:pPr>
          </w:p>
          <w:p w14:paraId="71A5C682" w14:textId="77777777" w:rsidR="005E0F9D" w:rsidRPr="002635FE" w:rsidRDefault="005E0F9D" w:rsidP="006A26E4">
            <w:pPr>
              <w:spacing w:before="53"/>
              <w:ind w:right="35"/>
              <w:rPr>
                <w:rFonts w:asciiTheme="minorHAnsi" w:eastAsia="Corbel" w:hAnsiTheme="minorHAnsi" w:cstheme="minorHAnsi"/>
                <w:w w:val="99"/>
                <w:sz w:val="22"/>
                <w:szCs w:val="22"/>
              </w:rPr>
            </w:pPr>
            <w:r w:rsidRPr="002635FE">
              <w:rPr>
                <w:rFonts w:asciiTheme="minorHAnsi" w:eastAsia="Corbel" w:hAnsiTheme="minorHAnsi" w:cstheme="minorHAnsi"/>
                <w:w w:val="99"/>
                <w:sz w:val="22"/>
                <w:szCs w:val="22"/>
              </w:rPr>
              <w:t>Physical education, first and second cycle studies</w:t>
            </w:r>
          </w:p>
          <w:p w14:paraId="7FBD6408" w14:textId="77777777" w:rsidR="005E0F9D" w:rsidRPr="002635FE" w:rsidRDefault="005E0F9D" w:rsidP="006A26E4">
            <w:pPr>
              <w:spacing w:before="53"/>
              <w:ind w:right="35"/>
              <w:rPr>
                <w:rFonts w:asciiTheme="minorHAnsi" w:eastAsia="Corbel" w:hAnsiTheme="minorHAnsi" w:cstheme="minorHAnsi"/>
                <w:w w:val="99"/>
                <w:sz w:val="22"/>
                <w:szCs w:val="22"/>
              </w:rPr>
            </w:pPr>
          </w:p>
          <w:p w14:paraId="1FB37C05" w14:textId="77777777" w:rsidR="005E0F9D" w:rsidRPr="002635FE" w:rsidRDefault="005E0F9D" w:rsidP="006A26E4">
            <w:pPr>
              <w:spacing w:before="53"/>
              <w:ind w:right="35"/>
              <w:rPr>
                <w:rFonts w:asciiTheme="minorHAnsi" w:eastAsia="Corbel" w:hAnsiTheme="minorHAnsi" w:cstheme="minorHAnsi"/>
                <w:w w:val="99"/>
                <w:sz w:val="22"/>
                <w:szCs w:val="22"/>
              </w:rPr>
            </w:pPr>
            <w:r w:rsidRPr="002635FE">
              <w:rPr>
                <w:rFonts w:asciiTheme="minorHAnsi" w:eastAsia="Corbel" w:hAnsiTheme="minorHAnsi" w:cstheme="minorHAnsi"/>
                <w:w w:val="99"/>
                <w:sz w:val="22"/>
                <w:szCs w:val="22"/>
              </w:rPr>
              <w:t>Public health, first and second cycle studies</w:t>
            </w:r>
          </w:p>
        </w:tc>
        <w:tc>
          <w:tcPr>
            <w:tcW w:w="7087" w:type="dxa"/>
          </w:tcPr>
          <w:p w14:paraId="43A9A20F" w14:textId="77777777" w:rsidR="005E0F9D" w:rsidRPr="002635FE" w:rsidRDefault="005E0F9D" w:rsidP="00A67EC7">
            <w:pPr>
              <w:spacing w:before="53"/>
              <w:ind w:right="35"/>
              <w:jc w:val="both"/>
              <w:rPr>
                <w:rFonts w:eastAsia="Corbel"/>
                <w:w w:val="99"/>
                <w:sz w:val="22"/>
                <w:szCs w:val="22"/>
              </w:rPr>
            </w:pPr>
            <w:r w:rsidRPr="002635FE">
              <w:rPr>
                <w:rFonts w:eastAsia="Corbel"/>
                <w:w w:val="99"/>
                <w:sz w:val="22"/>
                <w:szCs w:val="22"/>
              </w:rPr>
              <w:t>1. Transfer of a student from another university, including a foreign one, or to</w:t>
            </w:r>
            <w:r>
              <w:rPr>
                <w:rFonts w:eastAsia="Corbel"/>
                <w:w w:val="99"/>
                <w:sz w:val="22"/>
                <w:szCs w:val="22"/>
              </w:rPr>
              <w:t xml:space="preserve"> t</w:t>
            </w:r>
            <w:r w:rsidRPr="002635FE">
              <w:rPr>
                <w:rFonts w:eastAsia="Corbel"/>
                <w:w w:val="99"/>
                <w:sz w:val="22"/>
                <w:szCs w:val="22"/>
              </w:rPr>
              <w:t>he same or another related direction may follow in the following</w:t>
            </w:r>
          </w:p>
          <w:p w14:paraId="5DBAF5E9" w14:textId="77777777" w:rsidR="005E0F9D" w:rsidRPr="002635FE" w:rsidRDefault="005E0F9D" w:rsidP="00A67EC7">
            <w:pPr>
              <w:spacing w:before="53"/>
              <w:ind w:right="35"/>
              <w:jc w:val="both"/>
              <w:rPr>
                <w:rFonts w:eastAsia="Corbel"/>
                <w:w w:val="99"/>
                <w:sz w:val="22"/>
                <w:szCs w:val="22"/>
              </w:rPr>
            </w:pPr>
            <w:r w:rsidRPr="002635FE">
              <w:rPr>
                <w:rFonts w:eastAsia="Corbel"/>
                <w:w w:val="99"/>
                <w:sz w:val="22"/>
                <w:szCs w:val="22"/>
              </w:rPr>
              <w:t>cases:</w:t>
            </w:r>
          </w:p>
          <w:p w14:paraId="6878CB07" w14:textId="77777777" w:rsidR="005E0F9D" w:rsidRPr="002635FE" w:rsidRDefault="005E0F9D" w:rsidP="005E0F9D">
            <w:pPr>
              <w:pStyle w:val="Akapitzlist"/>
              <w:numPr>
                <w:ilvl w:val="0"/>
                <w:numId w:val="1"/>
              </w:numPr>
              <w:spacing w:before="53"/>
              <w:ind w:right="35"/>
              <w:jc w:val="both"/>
              <w:rPr>
                <w:rFonts w:eastAsia="Corbel"/>
                <w:w w:val="99"/>
                <w:sz w:val="22"/>
                <w:szCs w:val="22"/>
              </w:rPr>
            </w:pPr>
            <w:r w:rsidRPr="002635FE">
              <w:rPr>
                <w:rFonts w:eastAsia="Corbel"/>
                <w:w w:val="99"/>
                <w:sz w:val="22"/>
                <w:szCs w:val="22"/>
              </w:rPr>
              <w:t>no earlier than after completing the first year of studies, if the home university maintains an annual system for settling course hours and crediting learning outcomes;</w:t>
            </w:r>
          </w:p>
          <w:p w14:paraId="7D11AE25" w14:textId="77777777" w:rsidR="005E0F9D" w:rsidRPr="002635FE" w:rsidRDefault="005E0F9D" w:rsidP="005E0F9D">
            <w:pPr>
              <w:pStyle w:val="Akapitzlist"/>
              <w:numPr>
                <w:ilvl w:val="0"/>
                <w:numId w:val="1"/>
              </w:numPr>
              <w:spacing w:before="53"/>
              <w:ind w:right="35"/>
              <w:jc w:val="both"/>
              <w:rPr>
                <w:rFonts w:eastAsia="Corbel"/>
                <w:w w:val="99"/>
                <w:sz w:val="22"/>
                <w:szCs w:val="22"/>
              </w:rPr>
            </w:pPr>
            <w:r w:rsidRPr="002635FE">
              <w:rPr>
                <w:rFonts w:eastAsia="Corbel"/>
                <w:w w:val="99"/>
                <w:sz w:val="22"/>
                <w:szCs w:val="22"/>
              </w:rPr>
              <w:t>after a full year of studies - transfer pending</w:t>
            </w:r>
            <w:r>
              <w:rPr>
                <w:rFonts w:eastAsia="Corbel"/>
                <w:w w:val="99"/>
                <w:sz w:val="22"/>
                <w:szCs w:val="22"/>
              </w:rPr>
              <w:t xml:space="preserve"> </w:t>
            </w:r>
            <w:r w:rsidRPr="002635FE">
              <w:rPr>
                <w:rFonts w:eastAsia="Corbel"/>
                <w:w w:val="99"/>
                <w:sz w:val="22"/>
                <w:szCs w:val="22"/>
              </w:rPr>
              <w:t>ongoing academic year is not possible</w:t>
            </w:r>
          </w:p>
          <w:p w14:paraId="2A52C325" w14:textId="77777777" w:rsidR="005E0F9D" w:rsidRPr="002635FE" w:rsidRDefault="005E0F9D" w:rsidP="005E0F9D">
            <w:pPr>
              <w:pStyle w:val="Akapitzlist"/>
              <w:numPr>
                <w:ilvl w:val="0"/>
                <w:numId w:val="1"/>
              </w:numPr>
              <w:spacing w:before="53"/>
              <w:ind w:right="35"/>
              <w:jc w:val="both"/>
              <w:rPr>
                <w:rFonts w:eastAsia="Corbel"/>
                <w:w w:val="99"/>
                <w:sz w:val="22"/>
                <w:szCs w:val="22"/>
              </w:rPr>
            </w:pPr>
            <w:r w:rsidRPr="002635FE">
              <w:rPr>
                <w:rFonts w:eastAsia="Corbel"/>
                <w:w w:val="99"/>
                <w:sz w:val="22"/>
                <w:szCs w:val="22"/>
              </w:rPr>
              <w:t>only for vacant places in individual fields and years of study, within the limits set by the Ministry of Health or in the Rector's Order;</w:t>
            </w:r>
          </w:p>
          <w:p w14:paraId="4415261A" w14:textId="77777777" w:rsidR="005E0F9D" w:rsidRPr="002635FE" w:rsidRDefault="005E0F9D" w:rsidP="005E0F9D">
            <w:pPr>
              <w:pStyle w:val="Akapitzlist"/>
              <w:numPr>
                <w:ilvl w:val="0"/>
                <w:numId w:val="1"/>
              </w:numPr>
              <w:spacing w:before="53"/>
              <w:ind w:right="35"/>
              <w:jc w:val="both"/>
              <w:rPr>
                <w:rFonts w:eastAsia="Corbel"/>
                <w:w w:val="99"/>
                <w:sz w:val="22"/>
                <w:szCs w:val="22"/>
              </w:rPr>
            </w:pPr>
            <w:r w:rsidRPr="002635FE">
              <w:rPr>
                <w:rFonts w:eastAsia="Corbel"/>
                <w:w w:val="99"/>
                <w:sz w:val="22"/>
                <w:szCs w:val="22"/>
              </w:rPr>
              <w:t>only for the next year of studies resulting from the submitted documentation, except for the last year of education - does not apply to persons applying for transfer from Polish universities;</w:t>
            </w:r>
          </w:p>
          <w:p w14:paraId="7A638E1B" w14:textId="77777777" w:rsidR="005E0F9D" w:rsidRPr="002635FE" w:rsidRDefault="005E0F9D" w:rsidP="005E0F9D">
            <w:pPr>
              <w:pStyle w:val="Akapitzlist"/>
              <w:numPr>
                <w:ilvl w:val="0"/>
                <w:numId w:val="1"/>
              </w:numPr>
              <w:spacing w:before="53"/>
              <w:ind w:right="35"/>
              <w:jc w:val="both"/>
              <w:rPr>
                <w:rFonts w:eastAsia="Corbel"/>
                <w:w w:val="99"/>
                <w:sz w:val="22"/>
                <w:szCs w:val="22"/>
              </w:rPr>
            </w:pPr>
            <w:r w:rsidRPr="002635FE">
              <w:rPr>
                <w:rFonts w:eastAsia="Corbel"/>
                <w:w w:val="99"/>
                <w:sz w:val="22"/>
                <w:szCs w:val="22"/>
              </w:rPr>
              <w:t>within the same study mode, provided that it was a free full-time mode. In other cases, it will be transferred to part-time mode.</w:t>
            </w:r>
          </w:p>
          <w:p w14:paraId="584F99C5" w14:textId="77777777" w:rsidR="005E0F9D" w:rsidRPr="002635FE" w:rsidRDefault="005E0F9D" w:rsidP="00A67EC7">
            <w:pPr>
              <w:spacing w:before="53"/>
              <w:ind w:right="35"/>
              <w:jc w:val="both"/>
              <w:rPr>
                <w:rFonts w:eastAsia="Corbel"/>
                <w:w w:val="99"/>
                <w:sz w:val="22"/>
                <w:szCs w:val="22"/>
              </w:rPr>
            </w:pPr>
            <w:r w:rsidRPr="002635FE">
              <w:rPr>
                <w:rFonts w:eastAsia="Corbel"/>
                <w:w w:val="99"/>
                <w:sz w:val="22"/>
                <w:szCs w:val="22"/>
              </w:rPr>
              <w:t>2. A student who started studies abroad may only transfer to part-time studies or studies conducted in English. The transfer of medical students from foreign universities is possible for a maximum of the third year of studies.</w:t>
            </w:r>
          </w:p>
          <w:p w14:paraId="00CAED11" w14:textId="77777777" w:rsidR="005E0F9D" w:rsidRPr="002635FE" w:rsidRDefault="005E0F9D" w:rsidP="00A67EC7">
            <w:pPr>
              <w:spacing w:before="53"/>
              <w:ind w:right="35"/>
              <w:jc w:val="both"/>
              <w:rPr>
                <w:rFonts w:eastAsia="Corbel"/>
                <w:w w:val="99"/>
                <w:sz w:val="22"/>
                <w:szCs w:val="22"/>
              </w:rPr>
            </w:pPr>
            <w:r w:rsidRPr="002635FE">
              <w:rPr>
                <w:rFonts w:eastAsia="Corbel"/>
                <w:w w:val="99"/>
                <w:sz w:val="22"/>
                <w:szCs w:val="22"/>
              </w:rPr>
              <w:t>3. A student from another university may be admitted if the number of program differences allows starting studies in at least the third semester, subject to settlement cycles.</w:t>
            </w:r>
          </w:p>
          <w:p w14:paraId="03F55822" w14:textId="77777777" w:rsidR="005E0F9D" w:rsidRPr="002635FE" w:rsidRDefault="005E0F9D" w:rsidP="00A67EC7">
            <w:pPr>
              <w:spacing w:before="53"/>
              <w:ind w:right="35"/>
              <w:jc w:val="both"/>
              <w:rPr>
                <w:rFonts w:eastAsia="Corbel"/>
                <w:w w:val="99"/>
                <w:sz w:val="22"/>
                <w:szCs w:val="22"/>
              </w:rPr>
            </w:pPr>
            <w:r w:rsidRPr="002635FE">
              <w:rPr>
                <w:rFonts w:eastAsia="Corbel"/>
                <w:w w:val="99"/>
                <w:sz w:val="22"/>
                <w:szCs w:val="22"/>
              </w:rPr>
              <w:t>4. The period for making up for program differences should not exceed one year. In justified cases, the dean, at the student's request, may extend the deadline for making up for program differences, but no longer than by another year.</w:t>
            </w:r>
          </w:p>
          <w:p w14:paraId="7642B13E" w14:textId="77777777" w:rsidR="005E0F9D" w:rsidRPr="002635FE" w:rsidRDefault="005E0F9D" w:rsidP="00A67EC7">
            <w:pPr>
              <w:spacing w:before="53"/>
              <w:ind w:right="35"/>
              <w:jc w:val="both"/>
              <w:rPr>
                <w:rFonts w:eastAsia="Corbel"/>
                <w:w w:val="99"/>
                <w:sz w:val="22"/>
                <w:szCs w:val="22"/>
              </w:rPr>
            </w:pPr>
            <w:r w:rsidRPr="002635FE">
              <w:rPr>
                <w:rFonts w:eastAsia="Corbel"/>
                <w:w w:val="99"/>
                <w:sz w:val="22"/>
                <w:szCs w:val="22"/>
              </w:rPr>
              <w:t>5. If differences in the curriculum from the leading subjects for the field of study are demonstrated, the student may be admitted to a year lower than that indicated in the application.</w:t>
            </w:r>
          </w:p>
          <w:p w14:paraId="77969941" w14:textId="77777777" w:rsidR="005E0F9D" w:rsidRPr="002635FE" w:rsidRDefault="005E0F9D" w:rsidP="00A67EC7">
            <w:pPr>
              <w:spacing w:before="53"/>
              <w:ind w:right="35"/>
              <w:jc w:val="both"/>
              <w:rPr>
                <w:rFonts w:eastAsia="Corbel"/>
                <w:w w:val="99"/>
                <w:sz w:val="22"/>
                <w:szCs w:val="22"/>
              </w:rPr>
            </w:pPr>
            <w:r w:rsidRPr="002635FE">
              <w:rPr>
                <w:rFonts w:eastAsia="Corbel"/>
                <w:w w:val="99"/>
                <w:sz w:val="22"/>
                <w:szCs w:val="22"/>
              </w:rPr>
              <w:t>6. The condition for taking into account the classes completed by the student and ECTS points is to confirm the convergence of the obtained learning outcomes.</w:t>
            </w:r>
          </w:p>
          <w:p w14:paraId="67824B9F" w14:textId="77777777" w:rsidR="005E0F9D" w:rsidRPr="002635FE" w:rsidRDefault="005E0F9D" w:rsidP="00A67EC7">
            <w:pPr>
              <w:spacing w:before="53"/>
              <w:ind w:right="35"/>
              <w:jc w:val="both"/>
              <w:rPr>
                <w:rFonts w:eastAsia="Corbel"/>
                <w:w w:val="99"/>
                <w:sz w:val="22"/>
                <w:szCs w:val="22"/>
              </w:rPr>
            </w:pPr>
            <w:r w:rsidRPr="002635FE">
              <w:rPr>
                <w:rFonts w:eastAsia="Corbel"/>
                <w:w w:val="99"/>
                <w:sz w:val="22"/>
                <w:szCs w:val="22"/>
              </w:rPr>
              <w:t>7. Students may apply for admission from another Polish or foreign university, in the transfer mode, only if they obtain results in the high school leaving examination (close to) the cut-off criteria used in the recruitment procedure for the education cycle and study mode for which they are applying.</w:t>
            </w:r>
          </w:p>
          <w:p w14:paraId="0C9BFA17" w14:textId="77777777" w:rsidR="005E0F9D" w:rsidRPr="002635FE" w:rsidRDefault="005E0F9D" w:rsidP="00A67EC7">
            <w:pPr>
              <w:spacing w:before="53"/>
              <w:ind w:right="35"/>
              <w:jc w:val="both"/>
              <w:rPr>
                <w:rFonts w:eastAsia="Corbel"/>
                <w:b/>
                <w:w w:val="99"/>
                <w:sz w:val="22"/>
                <w:szCs w:val="22"/>
              </w:rPr>
            </w:pPr>
            <w:r w:rsidRPr="002635FE">
              <w:rPr>
                <w:rFonts w:eastAsia="Corbel"/>
                <w:w w:val="99"/>
                <w:sz w:val="22"/>
                <w:szCs w:val="22"/>
              </w:rPr>
              <w:t>8. At the student's request, the dean may consent to taking into account completed subjects (classes) and ECTS points obtained in another field of study or at another university during the implementation of the current study program in another field of study or specialization and in the event of re-admission to studies.</w:t>
            </w:r>
          </w:p>
        </w:tc>
      </w:tr>
    </w:tbl>
    <w:p w14:paraId="6C57781B" w14:textId="77777777" w:rsidR="00000000" w:rsidRPr="005E0F9D" w:rsidRDefault="00000000" w:rsidP="005E0F9D">
      <w:pPr>
        <w:spacing w:before="53"/>
        <w:ind w:right="35"/>
        <w:rPr>
          <w:rFonts w:eastAsia="Corbel"/>
          <w:b/>
          <w:w w:val="99"/>
          <w:sz w:val="22"/>
          <w:szCs w:val="22"/>
        </w:rPr>
      </w:pPr>
    </w:p>
    <w:sectPr w:rsidR="0087471D" w:rsidRPr="005E0F9D" w:rsidSect="005E0F9D">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E35BF"/>
    <w:multiLevelType w:val="hybridMultilevel"/>
    <w:tmpl w:val="11847082"/>
    <w:lvl w:ilvl="0" w:tplc="087246DE">
      <w:numFmt w:val="bullet"/>
      <w:lvlText w:val="•"/>
      <w:lvlJc w:val="left"/>
      <w:pPr>
        <w:ind w:left="720" w:hanging="360"/>
      </w:pPr>
      <w:rPr>
        <w:rFonts w:ascii="Times New Roman" w:eastAsia="Corbel"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40269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A40"/>
    <w:rsid w:val="002A0695"/>
    <w:rsid w:val="005E0F9D"/>
    <w:rsid w:val="00656AB6"/>
    <w:rsid w:val="006A26E4"/>
    <w:rsid w:val="006F33F2"/>
    <w:rsid w:val="00784DD9"/>
    <w:rsid w:val="00800745"/>
    <w:rsid w:val="00BD370F"/>
    <w:rsid w:val="00D758CB"/>
    <w:rsid w:val="00EB5847"/>
    <w:rsid w:val="00FF6A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22CF"/>
  <w15:chartTrackingRefBased/>
  <w15:docId w15:val="{F16B02B4-9A97-454D-B9E2-F79DC9E76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0F9D"/>
    <w:pPr>
      <w:spacing w:after="0" w:line="240" w:lineRule="auto"/>
    </w:pPr>
    <w:rPr>
      <w:rFonts w:ascii="Times New Roman" w:eastAsia="Times New Roman" w:hAnsi="Times New Roman" w:cs="Times New Roman"/>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E0F9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E0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469</Words>
  <Characters>2814</Characters>
  <Application>Microsoft Office Word</Application>
  <DocSecurity>0</DocSecurity>
  <Lines>23</Lines>
  <Paragraphs>6</Paragraphs>
  <ScaleCrop>false</ScaleCrop>
  <Company>SPecialiST RePack</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Addmin</dc:creator>
  <cp:keywords/>
  <dc:description/>
  <cp:lastModifiedBy>Natalia Rejman</cp:lastModifiedBy>
  <cp:revision>4</cp:revision>
  <dcterms:created xsi:type="dcterms:W3CDTF">2024-05-20T14:52:00Z</dcterms:created>
  <dcterms:modified xsi:type="dcterms:W3CDTF">2024-05-22T07:57:00Z</dcterms:modified>
</cp:coreProperties>
</file>