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36F8" w:rsidRDefault="00CD36F8" w14:paraId="032A8508" w14:textId="77777777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w:rsidR="00CD36F8" w:rsidRDefault="00CD36F8" w14:paraId="113E2E65" w14:textId="77777777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:rsidR="00500561" w:rsidP="00500561" w:rsidRDefault="00CD36F8" w14:paraId="69F8F38D" w14:textId="77777777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 </w:t>
      </w:r>
      <w:r w:rsidR="00500561">
        <w:rPr>
          <w:rFonts w:ascii="Corbel" w:hAnsi="Corbel" w:cs="Corbel"/>
          <w:b/>
          <w:smallCaps/>
          <w:sz w:val="24"/>
          <w:szCs w:val="24"/>
        </w:rPr>
        <w:t>2022/2023 – 2024/2025</w:t>
      </w:r>
    </w:p>
    <w:p w:rsidR="00500561" w:rsidP="00500561" w:rsidRDefault="00500561" w14:paraId="0EA44C55" w14:textId="514FA1D7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5409FC1E" w:rsidR="00500561">
        <w:rPr>
          <w:rFonts w:ascii="Corbel" w:hAnsi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409FC1E" w:rsidR="48D8844E">
        <w:rPr>
          <w:rFonts w:ascii="Corbel" w:hAnsi="Corbel" w:cs="Corbel"/>
          <w:i w:val="1"/>
          <w:iCs w:val="1"/>
          <w:sz w:val="24"/>
          <w:szCs w:val="24"/>
        </w:rPr>
        <w:t>(skrajne daty)</w:t>
      </w:r>
    </w:p>
    <w:p w:rsidR="00500561" w:rsidP="00500561" w:rsidRDefault="00500561" w14:paraId="5010FFC4" w14:textId="77777777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>Rok akademicki 2023/2024</w:t>
      </w:r>
    </w:p>
    <w:p w:rsidR="00CD36F8" w:rsidP="00500561" w:rsidRDefault="00CD36F8" w14:paraId="2CB3FBDC" w14:textId="3730E675">
      <w:pPr>
        <w:spacing w:after="0" w:line="240" w:lineRule="exact"/>
        <w:jc w:val="center"/>
        <w:rPr>
          <w:rFonts w:ascii="Corbel" w:hAnsi="Corbel" w:cs="Corbel"/>
          <w:sz w:val="24"/>
          <w:szCs w:val="24"/>
        </w:rPr>
      </w:pPr>
    </w:p>
    <w:p w:rsidR="00CD36F8" w:rsidRDefault="00CD36F8" w14:paraId="0FD2045C" w14:textId="7777777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9830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Tr="34C6C4D7" w14:paraId="18E7A12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6FE044F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00561" w:rsidR="00CD36F8" w:rsidP="5409FC1E" w:rsidRDefault="00CD36F8" w14:paraId="59F7F7BB" w14:textId="5EC228CC" w14:noSpellErr="1">
            <w:pPr>
              <w:suppressAutoHyphens w:val="0"/>
              <w:spacing w:before="40" w:after="40" w:line="240" w:lineRule="auto"/>
              <w:rPr>
                <w:rFonts w:ascii="Corbel" w:hAnsi="Corbel" w:cs="Corbel"/>
                <w:b w:val="1"/>
                <w:bCs w:val="1"/>
                <w:sz w:val="24"/>
                <w:szCs w:val="24"/>
              </w:rPr>
            </w:pPr>
            <w:r w:rsidRPr="5409FC1E" w:rsidR="00CD36F8">
              <w:rPr>
                <w:rFonts w:ascii="Corbel" w:hAnsi="Corbel" w:cs="Corbel"/>
                <w:b w:val="1"/>
                <w:bCs w:val="1"/>
                <w:kern w:val="1"/>
                <w:sz w:val="24"/>
                <w:szCs w:val="24"/>
              </w:rPr>
              <w:t>Postępowanie administracyjne</w:t>
            </w:r>
          </w:p>
        </w:tc>
      </w:tr>
      <w:tr w:rsidR="00CD36F8" w:rsidTr="34C6C4D7" w14:paraId="352692B4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91DC49D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00561" w:rsidR="00CD36F8" w:rsidRDefault="009E4741" w14:paraId="560C690A" w14:textId="782ABF14">
            <w:pPr>
              <w:spacing w:after="0" w:line="100" w:lineRule="atLeast"/>
              <w:rPr>
                <w:iCs/>
              </w:rPr>
            </w:pPr>
            <w:r w:rsidRPr="00500561">
              <w:rPr>
                <w:rFonts w:ascii="Corbel" w:hAnsi="Corbel" w:cs="Corbel"/>
                <w:iCs/>
                <w:sz w:val="24"/>
                <w:szCs w:val="24"/>
              </w:rPr>
              <w:t>ASO18</w:t>
            </w:r>
          </w:p>
        </w:tc>
      </w:tr>
      <w:tr w:rsidR="00CD36F8" w:rsidTr="34C6C4D7" w14:paraId="56F3D2B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23D6D6B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00561" w:rsidR="00CD36F8" w:rsidRDefault="002D57EA" w14:paraId="03F7DD5C" w14:textId="048A50FC">
            <w:pPr>
              <w:spacing w:before="100" w:after="100"/>
              <w:rPr>
                <w:iCs/>
              </w:rPr>
            </w:pPr>
            <w:r w:rsidRPr="00500561">
              <w:rPr>
                <w:rFonts w:ascii="Corbel" w:hAnsi="Corbel" w:cs="Corbel"/>
                <w:iCs/>
                <w:sz w:val="24"/>
                <w:szCs w:val="24"/>
              </w:rPr>
              <w:t>Kolegium Nauk Społecznych</w:t>
            </w:r>
            <w:r w:rsidRPr="00500561" w:rsidR="00500561">
              <w:rPr>
                <w:rFonts w:ascii="Corbel" w:hAnsi="Corbel" w:cs="Corbel"/>
                <w:iCs/>
                <w:sz w:val="24"/>
                <w:szCs w:val="24"/>
              </w:rPr>
              <w:t>,</w:t>
            </w:r>
            <w:r w:rsidRPr="00500561" w:rsidR="00CD36F8">
              <w:rPr>
                <w:rFonts w:ascii="Corbel" w:hAnsi="Corbel" w:cs="Corbel"/>
                <w:iCs/>
                <w:sz w:val="24"/>
                <w:szCs w:val="24"/>
              </w:rPr>
              <w:t xml:space="preserve"> </w:t>
            </w:r>
            <w:r w:rsidRPr="00500561" w:rsidR="00500561">
              <w:rPr>
                <w:rFonts w:ascii="Corbel" w:hAnsi="Corbel" w:cs="Corbel"/>
                <w:iCs/>
                <w:kern w:val="1"/>
                <w:sz w:val="24"/>
                <w:szCs w:val="24"/>
              </w:rPr>
              <w:t>Instytut Nauk Prawnych</w:t>
            </w:r>
          </w:p>
        </w:tc>
      </w:tr>
      <w:tr w:rsidR="00CD36F8" w:rsidTr="34C6C4D7" w14:paraId="14175BC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2E7641C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00561" w:rsidR="00CD36F8" w:rsidP="5409FC1E" w:rsidRDefault="002D57EA" w14:paraId="61F877C3" w14:textId="4F9DCDEA">
            <w:pPr>
              <w:pStyle w:val="Normalny"/>
              <w:suppressAutoHyphens w:val="0"/>
              <w:spacing w:before="40" w:after="40" w:line="240" w:lineRule="auto"/>
            </w:pPr>
            <w:r w:rsidRPr="5409FC1E" w:rsidR="67FED647">
              <w:rPr>
                <w:rFonts w:ascii="Corbel" w:hAnsi="Corbel" w:cs="Corbel"/>
                <w:sz w:val="24"/>
                <w:szCs w:val="24"/>
              </w:rPr>
              <w:t>Instytut Nauk Prawnych</w:t>
            </w:r>
            <w:r w:rsidRPr="5409FC1E" w:rsidR="67FED647">
              <w:rPr>
                <w:rFonts w:ascii="Corbel" w:hAnsi="Corbel" w:cs="Corbel"/>
                <w:kern w:val="1"/>
                <w:sz w:val="24"/>
                <w:szCs w:val="24"/>
              </w:rPr>
              <w:t xml:space="preserve"> </w:t>
            </w:r>
            <w:r w:rsidRPr="5409FC1E" w:rsidR="002D57EA">
              <w:rPr>
                <w:rFonts w:ascii="Corbel" w:hAnsi="Corbel" w:cs="Corbel"/>
                <w:sz w:val="24"/>
                <w:szCs w:val="24"/>
              </w:rPr>
              <w:t>Zakład Prawa Administracyjnego i Postępowania Administracyjnego</w:t>
            </w:r>
          </w:p>
        </w:tc>
      </w:tr>
      <w:tr w:rsidR="00CD36F8" w:rsidTr="34C6C4D7" w14:paraId="09C6961F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5F284591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00561" w:rsidR="00CD36F8" w:rsidRDefault="009E4741" w14:paraId="2701C3F0" w14:textId="3BEB86D2">
            <w:pPr>
              <w:suppressAutoHyphens w:val="0"/>
              <w:spacing w:before="40" w:after="40" w:line="240" w:lineRule="auto"/>
              <w:rPr>
                <w:iCs/>
              </w:rPr>
            </w:pPr>
            <w:r w:rsidRPr="00500561">
              <w:rPr>
                <w:rFonts w:ascii="Corbel" w:hAnsi="Corbel" w:cs="Corbel"/>
                <w:iCs/>
                <w:kern w:val="1"/>
                <w:sz w:val="24"/>
                <w:szCs w:val="24"/>
              </w:rPr>
              <w:t>Administracja</w:t>
            </w:r>
          </w:p>
        </w:tc>
      </w:tr>
      <w:tr w:rsidR="00CD36F8" w:rsidTr="34C6C4D7" w14:paraId="77DA1B4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2279E520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00561" w:rsidR="00CD36F8" w:rsidRDefault="009E4741" w14:paraId="3957C981" w14:textId="05F567BF">
            <w:pPr>
              <w:suppressAutoHyphens w:val="0"/>
              <w:spacing w:before="40" w:after="40" w:line="240" w:lineRule="auto"/>
              <w:rPr>
                <w:iCs/>
              </w:rPr>
            </w:pPr>
            <w:r w:rsidRPr="00500561">
              <w:rPr>
                <w:rFonts w:ascii="Corbel" w:hAnsi="Corbel"/>
                <w:iCs/>
                <w:kern w:val="1"/>
                <w:sz w:val="24"/>
                <w:szCs w:val="24"/>
              </w:rPr>
              <w:t>I stop</w:t>
            </w:r>
            <w:r w:rsidRPr="00500561" w:rsidR="00500561">
              <w:rPr>
                <w:rFonts w:ascii="Corbel" w:hAnsi="Corbel"/>
                <w:iCs/>
                <w:kern w:val="1"/>
                <w:sz w:val="24"/>
                <w:szCs w:val="24"/>
              </w:rPr>
              <w:t>n</w:t>
            </w:r>
            <w:r w:rsidRPr="00500561">
              <w:rPr>
                <w:rFonts w:ascii="Corbel" w:hAnsi="Corbel"/>
                <w:iCs/>
                <w:kern w:val="1"/>
                <w:sz w:val="24"/>
                <w:szCs w:val="24"/>
              </w:rPr>
              <w:t>ia</w:t>
            </w:r>
          </w:p>
        </w:tc>
      </w:tr>
      <w:tr w:rsidR="00CD36F8" w:rsidTr="34C6C4D7" w14:paraId="0002BC0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5553C3A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00561" w:rsidR="00CD36F8" w:rsidRDefault="00CD36F8" w14:paraId="31F430D9" w14:textId="77777777">
            <w:pPr>
              <w:suppressAutoHyphens w:val="0"/>
              <w:spacing w:before="40" w:after="40" w:line="240" w:lineRule="auto"/>
              <w:rPr>
                <w:iCs/>
              </w:rPr>
            </w:pPr>
            <w:proofErr w:type="spellStart"/>
            <w:r w:rsidRPr="00500561">
              <w:rPr>
                <w:rFonts w:ascii="Corbel" w:hAnsi="Corbel"/>
                <w:iCs/>
                <w:kern w:val="1"/>
                <w:sz w:val="24"/>
                <w:szCs w:val="24"/>
              </w:rPr>
              <w:t>Ogólnoakademicki</w:t>
            </w:r>
            <w:proofErr w:type="spellEnd"/>
          </w:p>
        </w:tc>
      </w:tr>
      <w:tr w:rsidR="00CD36F8" w:rsidTr="34C6C4D7" w14:paraId="3A3BB04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3F3AE5D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00561" w:rsidR="00CD36F8" w:rsidRDefault="00EF3EDB" w14:paraId="3674CF26" w14:textId="41AF2E96">
            <w:pPr>
              <w:suppressAutoHyphens w:val="0"/>
              <w:spacing w:before="40" w:after="40" w:line="240" w:lineRule="auto"/>
              <w:rPr>
                <w:iCs/>
              </w:rPr>
            </w:pPr>
            <w:r w:rsidRPr="00500561">
              <w:rPr>
                <w:rFonts w:ascii="Corbel" w:hAnsi="Corbel" w:cs="Corbel"/>
                <w:iCs/>
                <w:kern w:val="1"/>
                <w:sz w:val="24"/>
                <w:szCs w:val="24"/>
              </w:rPr>
              <w:t>nies</w:t>
            </w:r>
            <w:r w:rsidRPr="00500561" w:rsidR="00CD36F8">
              <w:rPr>
                <w:rFonts w:ascii="Corbel" w:hAnsi="Corbel" w:cs="Corbel"/>
                <w:iCs/>
                <w:kern w:val="1"/>
                <w:sz w:val="24"/>
                <w:szCs w:val="24"/>
              </w:rPr>
              <w:t>tacjonarne</w:t>
            </w:r>
          </w:p>
        </w:tc>
      </w:tr>
      <w:tr w:rsidR="00CD36F8" w:rsidTr="34C6C4D7" w14:paraId="0F529AC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EE7765B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00561" w:rsidR="00CD36F8" w:rsidP="5409FC1E" w:rsidRDefault="00CD36F8" w14:paraId="30B4489E" w14:textId="6FDD5766">
            <w:pPr>
              <w:suppressAutoHyphens w:val="0"/>
              <w:spacing w:before="40" w:after="40" w:line="240" w:lineRule="auto"/>
              <w:rPr>
                <w:rFonts w:ascii="Corbel" w:hAnsi="Corbel" w:cs="Corbel"/>
                <w:sz w:val="24"/>
                <w:szCs w:val="24"/>
              </w:rPr>
            </w:pPr>
            <w:r w:rsidRPr="5409FC1E" w:rsidR="04D7209C">
              <w:rPr>
                <w:rFonts w:ascii="Corbel" w:hAnsi="Corbel" w:cs="Corbel"/>
                <w:kern w:val="1"/>
                <w:sz w:val="24"/>
                <w:szCs w:val="24"/>
              </w:rPr>
              <w:t xml:space="preserve">II / </w:t>
            </w:r>
            <w:r w:rsidRPr="5409FC1E" w:rsidR="009E4741">
              <w:rPr>
                <w:rFonts w:ascii="Corbel" w:hAnsi="Corbel" w:cs="Corbel"/>
                <w:kern w:val="1"/>
                <w:sz w:val="24"/>
                <w:szCs w:val="24"/>
              </w:rPr>
              <w:t>IV</w:t>
            </w:r>
          </w:p>
        </w:tc>
      </w:tr>
      <w:tr w:rsidR="00CD36F8" w:rsidTr="34C6C4D7" w14:paraId="0297C87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F08CC23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00561" w:rsidR="00CD36F8" w:rsidRDefault="00CD36F8" w14:paraId="3F8C409E" w14:textId="77777777">
            <w:pPr>
              <w:suppressAutoHyphens w:val="0"/>
              <w:spacing w:before="40" w:after="40" w:line="240" w:lineRule="auto"/>
              <w:rPr>
                <w:iCs/>
              </w:rPr>
            </w:pPr>
            <w:r w:rsidRPr="00500561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Obowiązkowy </w:t>
            </w:r>
          </w:p>
        </w:tc>
      </w:tr>
      <w:tr w:rsidR="00CD36F8" w:rsidTr="34C6C4D7" w14:paraId="3ED7E20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3F13EC4" w14:textId="77777777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00561" w:rsidR="00CD36F8" w:rsidRDefault="00CD36F8" w14:paraId="2901A306" w14:textId="77777777">
            <w:pPr>
              <w:pStyle w:val="Odpowiedzi"/>
              <w:spacing w:before="100" w:after="100"/>
              <w:rPr>
                <w:iCs/>
              </w:rPr>
            </w:pPr>
            <w:r w:rsidRPr="00500561">
              <w:rPr>
                <w:rFonts w:ascii="Corbel" w:hAnsi="Corbel" w:cs="Corbel"/>
                <w:b w:val="0"/>
                <w:iCs/>
                <w:sz w:val="24"/>
                <w:szCs w:val="24"/>
              </w:rPr>
              <w:t>Język polski</w:t>
            </w:r>
          </w:p>
        </w:tc>
      </w:tr>
      <w:tr w:rsidR="00D3387A" w:rsidTr="34C6C4D7" w14:paraId="03083E0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D3387A" w:rsidP="00D3387A" w:rsidRDefault="00D3387A" w14:paraId="7B0770B2" w14:textId="77777777">
            <w:pPr>
              <w:pStyle w:val="Pytania"/>
              <w:spacing w:before="100" w:after="100"/>
              <w:jc w:val="left"/>
              <w:rPr>
                <w:rFonts w:ascii="Corbel" w:hAnsi="Corbel" w:eastAsia="Calibri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00561" w:rsidR="00D3387A" w:rsidP="00D3387A" w:rsidRDefault="00D3387A" w14:paraId="677B5F69" w14:textId="0A4316B5">
            <w:pPr>
              <w:suppressAutoHyphens w:val="0"/>
              <w:spacing w:before="40" w:after="40" w:line="240" w:lineRule="auto"/>
              <w:rPr>
                <w:iCs/>
              </w:rPr>
            </w:pPr>
            <w:r w:rsidRPr="00500561">
              <w:rPr>
                <w:rFonts w:ascii="Corbel" w:hAnsi="Corbel" w:cs="Corbel"/>
                <w:iCs/>
                <w:kern w:val="1"/>
                <w:sz w:val="24"/>
                <w:szCs w:val="24"/>
              </w:rPr>
              <w:t>dr Konrad Kędzierski</w:t>
            </w:r>
          </w:p>
        </w:tc>
      </w:tr>
      <w:tr w:rsidR="00D3387A" w:rsidTr="34C6C4D7" w14:paraId="7DD173B0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D3387A" w:rsidP="00D3387A" w:rsidRDefault="00D3387A" w14:paraId="6E3F4D54" w14:textId="77777777">
            <w:pPr>
              <w:pStyle w:val="Pytania"/>
              <w:spacing w:before="100" w:after="100"/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00561" w:rsidR="00D3387A" w:rsidP="34C6C4D7" w:rsidRDefault="00D3387A" w14:paraId="0D868CBA" w14:textId="619018B1">
            <w:pPr>
              <w:rPr>
                <w:rFonts w:ascii="Corbel" w:hAnsi="Corbel" w:cs="Corbel"/>
                <w:sz w:val="24"/>
                <w:szCs w:val="24"/>
              </w:rPr>
            </w:pPr>
            <w:r w:rsidRPr="34C6C4D7" w:rsidR="00D3387A">
              <w:rPr>
                <w:rFonts w:ascii="Corbel" w:hAnsi="Corbel" w:cs="Corbel"/>
                <w:kern w:val="1"/>
                <w:sz w:val="24"/>
                <w:szCs w:val="24"/>
              </w:rPr>
              <w:t xml:space="preserve">dr Konrad Kędzierski</w:t>
            </w:r>
          </w:p>
        </w:tc>
      </w:tr>
    </w:tbl>
    <w:p w:rsidR="00CD36F8" w:rsidRDefault="00CD36F8" w14:paraId="67502903" w14:textId="77777777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:rsidR="00CD36F8" w:rsidRDefault="00CD36F8" w14:paraId="09423E85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:rsidR="00CD36F8" w:rsidRDefault="00CD36F8" w14:paraId="4D653368" w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="00CD36F8" w:rsidRDefault="00CD36F8" w14:paraId="3E71F45F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25"/>
        <w:gridCol w:w="844"/>
        <w:gridCol w:w="800"/>
        <w:gridCol w:w="975"/>
        <w:gridCol w:w="780"/>
        <w:gridCol w:w="825"/>
        <w:gridCol w:w="687"/>
        <w:gridCol w:w="957"/>
        <w:gridCol w:w="1206"/>
        <w:gridCol w:w="1598"/>
      </w:tblGrid>
      <w:tr w:rsidR="00CD36F8" w:rsidTr="5409FC1E" w14:paraId="472E299E" w14:textId="77777777">
        <w:tc>
          <w:tcPr>
            <w:tcW w:w="11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34B8C750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:rsidR="00CD36F8" w:rsidRDefault="00CD36F8" w14:paraId="2FC329FF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D2EDE9F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3A1F6270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1103315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4584A903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D549FA6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6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27D68B1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2026096C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E4433C6" w14:textId="7777777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498324F8" w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Tr="5409FC1E" w14:paraId="0DE2B604" w14:textId="77777777">
        <w:trPr>
          <w:trHeight w:val="453"/>
        </w:trPr>
        <w:tc>
          <w:tcPr>
            <w:tcW w:w="11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D3387A" w14:paraId="50FF5EF9" w14:textId="5DA963EB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IV</w:t>
            </w:r>
          </w:p>
        </w:tc>
        <w:tc>
          <w:tcPr>
            <w:tcW w:w="8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5409FC1E" w:rsidRDefault="00640711" w14:paraId="6FEB68B8" w14:textId="57E58EF8">
            <w:pPr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i w:val="1"/>
                <w:iCs w:val="1"/>
                <w:kern w:val="1"/>
              </w:rPr>
            </w:pPr>
            <w:r w:rsidRPr="5409FC1E" w:rsidR="75AD2635">
              <w:rPr>
                <w:rFonts w:ascii="Corbel" w:hAnsi="Corbel" w:eastAsia="Times New Roman" w:cs="Corbel"/>
                <w:i w:val="1"/>
                <w:iCs w:val="1"/>
                <w:kern w:val="1"/>
                <w:sz w:val="24"/>
                <w:szCs w:val="24"/>
              </w:rPr>
              <w:t>30</w:t>
            </w:r>
            <w:r w:rsidRPr="5409FC1E" w:rsidR="00CD36F8">
              <w:rPr>
                <w:rFonts w:ascii="Corbel" w:hAnsi="Corbel" w:eastAsia="Times New Roman" w:cs="Corbel"/>
                <w:i w:val="1"/>
                <w:iCs w:val="1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423D8CE7" w14:textId="5427C1B4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4E534F30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D11B309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5B0E4EDD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4EF45205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DFB6C93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1810651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385F8D" w14:paraId="4DDC0CC5" w14:textId="0F8BBECC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CD36F8" w:rsidRDefault="00CD36F8" w14:paraId="31DB3CD1" w14:textId="77777777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:rsidR="00CD36F8" w:rsidRDefault="00CD36F8" w14:paraId="42B8F3F2" w14:textId="77777777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:rsidR="00CD36F8" w:rsidRDefault="00CD36F8" w14:paraId="4C736979" w14:textId="77777777">
      <w:pPr>
        <w:pStyle w:val="Punktygwne"/>
        <w:tabs>
          <w:tab w:val="left" w:pos="709"/>
        </w:tabs>
        <w:spacing w:before="0" w:after="0"/>
        <w:ind w:left="284"/>
        <w:rPr>
          <w:rFonts w:ascii="MS Gothic" w:hAnsi="MS Gothic" w:eastAsia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Sposób realizacji zajęć  </w:t>
      </w:r>
    </w:p>
    <w:p w:rsidR="00CD36F8" w:rsidP="5409FC1E" w:rsidRDefault="00CD36F8" w14:paraId="02A229A4" w14:textId="25A5D8AE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bCs w:val="0"/>
        </w:rPr>
      </w:pPr>
      <w:r w:rsidRPr="5409FC1E" w:rsidR="00CD36F8">
        <w:rPr>
          <w:rFonts w:ascii="MS Gothic" w:hAnsi="MS Gothic" w:eastAsia="MS Gothic" w:cs="MS Gothic"/>
          <w:b w:val="0"/>
          <w:bCs w:val="0"/>
          <w:caps w:val="0"/>
          <w:smallCaps w:val="0"/>
        </w:rPr>
        <w:t>X</w:t>
      </w:r>
      <w:r w:rsidRPr="5409FC1E" w:rsidR="51810AE6">
        <w:rPr>
          <w:rFonts w:ascii="MS Gothic" w:hAnsi="MS Gothic" w:eastAsia="MS Gothic" w:cs="MS Gothic"/>
          <w:b w:val="0"/>
          <w:bCs w:val="0"/>
          <w:caps w:val="0"/>
          <w:smallCaps w:val="0"/>
        </w:rPr>
        <w:t xml:space="preserve"> </w:t>
      </w:r>
      <w:r w:rsidRPr="5409FC1E" w:rsidR="00CD36F8">
        <w:rPr>
          <w:rFonts w:ascii="Corbel" w:hAnsi="Corbel" w:cs="Corbel"/>
          <w:b w:val="0"/>
          <w:bCs w:val="0"/>
          <w:caps w:val="0"/>
          <w:smallCaps w:val="0"/>
        </w:rPr>
        <w:t xml:space="preserve">zajęcia w formie tradycyjnej </w:t>
      </w:r>
    </w:p>
    <w:p w:rsidR="00CD36F8" w:rsidRDefault="002D57EA" w14:paraId="22243486" w14:textId="77777777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="00CD36F8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D36F8" w:rsidRDefault="00CD36F8" w14:paraId="61FFB825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:rsidR="00CD36F8" w:rsidRDefault="00CD36F8" w14:paraId="2A484E84" w14:textId="77777777">
      <w:pPr>
        <w:pStyle w:val="Punktygwne"/>
        <w:tabs>
          <w:tab w:val="left" w:pos="709"/>
        </w:tabs>
        <w:spacing w:before="0" w:after="0"/>
        <w:ind w:left="709" w:hanging="425"/>
        <w:rPr>
          <w:kern w:val="1"/>
        </w:rPr>
      </w:pPr>
      <w:r>
        <w:rPr>
          <w:rFonts w:ascii="Corbel" w:hAnsi="Corbel" w:cs="Corbel"/>
          <w:smallCaps w:val="0"/>
          <w:szCs w:val="24"/>
        </w:rPr>
        <w:lastRenderedPageBreak/>
        <w:t xml:space="preserve">1.3 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:rsidR="00CD36F8" w:rsidP="0D592E48" w:rsidRDefault="00CD36F8" w14:paraId="32F8E716" w14:textId="77777777">
      <w:pPr>
        <w:suppressAutoHyphens w:val="0"/>
        <w:spacing w:after="0" w:line="240" w:lineRule="auto"/>
        <w:jc w:val="both"/>
        <w:rPr>
          <w:smallCaps w:val="1"/>
          <w:kern w:val="1"/>
          <w:sz w:val="24"/>
          <w:szCs w:val="24"/>
        </w:rPr>
      </w:pPr>
    </w:p>
    <w:p w:rsidR="00CD36F8" w:rsidP="0D592E48" w:rsidRDefault="00CD36F8" w14:textId="1FD61930" w14:paraId="725EBCA4">
      <w:pPr>
        <w:suppressAutoHyphens w:val="0"/>
        <w:spacing w:after="0" w:line="240" w:lineRule="auto"/>
        <w:jc w:val="both"/>
        <w:rPr>
          <w:rFonts w:ascii="Corbel" w:hAnsi="Corbel" w:cs="Corbel"/>
          <w:smallCaps w:val="1"/>
          <w:sz w:val="24"/>
          <w:szCs w:val="24"/>
        </w:rPr>
      </w:pPr>
      <w:r w:rsidR="00CD36F8">
        <w:rPr>
          <w:rFonts w:ascii="Corbel" w:hAnsi="Corbel" w:cs="Corbel"/>
          <w:smallCaps w:val="1"/>
          <w:kern w:val="1"/>
          <w:sz w:val="24"/>
          <w:szCs w:val="24"/>
        </w:rPr>
        <w:t xml:space="preserve">egzamin </w:t>
      </w:r>
    </w:p>
    <w:p w:rsidR="00CD36F8" w:rsidRDefault="00CD36F8" w14:paraId="3777CD59" w14:textId="77777777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  <w:r w:rsidRPr="5409FC1E" w:rsidR="00CD36F8">
        <w:rPr>
          <w:rFonts w:ascii="Corbel" w:hAnsi="Corbel" w:cs="Corbel"/>
        </w:rPr>
        <w:t xml:space="preserve">2.Wymagania wstępne </w:t>
      </w:r>
    </w:p>
    <w:p w:rsidR="5409FC1E" w:rsidP="5409FC1E" w:rsidRDefault="5409FC1E" w14:paraId="14DF7C8E" w14:textId="6FB940CA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Tr="5409FC1E" w14:paraId="27223285" w14:textId="77777777">
        <w:tc>
          <w:tcPr>
            <w:tcW w:w="9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5409FC1E" w:rsidRDefault="00CD36F8" w14:textId="77777777" w14:paraId="49BB07AC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</w:rPr>
            </w:pPr>
            <w:r w:rsidRPr="5409FC1E" w:rsidR="00CD36F8">
              <w:rPr>
                <w:rFonts w:ascii="Corbel" w:hAnsi="Corbel" w:cs="Corbel"/>
                <w:i w:val="1"/>
                <w:iCs w:val="1"/>
                <w:smallCaps w:val="1"/>
                <w:color w:val="000000"/>
                <w:kern w:val="1"/>
                <w:sz w:val="24"/>
                <w:szCs w:val="24"/>
              </w:rPr>
              <w:t>Prawo administracyjne, wstęp do prawoznawstwa</w:t>
            </w:r>
          </w:p>
        </w:tc>
      </w:tr>
    </w:tbl>
    <w:p w:rsidR="00CD36F8" w:rsidRDefault="00CD36F8" w14:paraId="65F8D468" w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CD36F8" w:rsidRDefault="00CD36F8" w14:paraId="15F98D8C" w14:textId="7777777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:rsidR="00CD36F8" w:rsidRDefault="00CD36F8" w14:paraId="21B7FFB0" w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CD36F8" w:rsidRDefault="00CD36F8" w14:paraId="2AD8D5E2" w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:rsidR="00CD36F8" w:rsidRDefault="00CD36F8" w14:paraId="5B921BDD" w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p w:rsidR="00CD36F8" w:rsidRDefault="00CD36F8" w14:paraId="0F43C22F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Tr="5409FC1E" w14:paraId="5BC471D7" w14:textId="77777777">
        <w:tc>
          <w:tcPr>
            <w:tcW w:w="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357D30D5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EC73838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:rsidTr="5409FC1E" w14:paraId="7381F02C" w14:textId="77777777">
        <w:tc>
          <w:tcPr>
            <w:tcW w:w="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A503979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12B98DCF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:rsidTr="5409FC1E" w14:paraId="51C33856" w14:textId="77777777">
        <w:tc>
          <w:tcPr>
            <w:tcW w:w="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5AE7CE1B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09DAC10C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i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  <w:p w:rsidR="00CD36F8" w:rsidRDefault="00CD36F8" w14:paraId="282C97AB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sz w:val="20"/>
                <w:szCs w:val="20"/>
              </w:rPr>
            </w:pPr>
          </w:p>
        </w:tc>
      </w:tr>
    </w:tbl>
    <w:p w:rsidR="5409FC1E" w:rsidP="5409FC1E" w:rsidRDefault="5409FC1E" w14:paraId="3D104683" w14:textId="4DFEDA33">
      <w:pPr>
        <w:spacing w:after="0" w:line="100" w:lineRule="atLeast"/>
        <w:ind w:left="426"/>
        <w:rPr>
          <w:rFonts w:ascii="Corbel" w:hAnsi="Corbel" w:cs="Corbel"/>
          <w:b w:val="1"/>
          <w:bCs w:val="1"/>
          <w:sz w:val="24"/>
          <w:szCs w:val="24"/>
        </w:rPr>
      </w:pPr>
    </w:p>
    <w:p w:rsidR="00CD36F8" w:rsidRDefault="00CD36F8" w14:paraId="49552471" w14:textId="77777777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:rsidR="00CD36F8" w:rsidRDefault="00CD36F8" w14:paraId="6263DDCA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:rsidTr="0D592E48" w14:paraId="35CA06F6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5409FC1E" w:rsidRDefault="00CD36F8" w14:paraId="2C4066F3" w14:textId="15F3B1B9">
            <w:pPr>
              <w:spacing w:after="0" w:line="240" w:lineRule="auto"/>
              <w:rPr>
                <w:rFonts w:ascii="Times New Roman" w:hAnsi="Times New Roman"/>
              </w:rPr>
            </w:pPr>
            <w:r w:rsidRPr="5409FC1E" w:rsidR="00CD36F8">
              <w:rPr>
                <w:rFonts w:ascii="Times New Roman" w:hAnsi="Times New Roman"/>
                <w:b w:val="1"/>
                <w:bCs w:val="1"/>
              </w:rPr>
              <w:t>EK</w:t>
            </w:r>
            <w:r w:rsidRPr="5409FC1E" w:rsidR="00CD36F8">
              <w:rPr>
                <w:rFonts w:ascii="Times New Roman" w:hAnsi="Times New Roman"/>
              </w:rPr>
              <w:t xml:space="preserve"> (efekt </w:t>
            </w:r>
            <w:r w:rsidRPr="5409FC1E" w:rsidR="2B671245">
              <w:rPr>
                <w:rFonts w:ascii="Times New Roman" w:hAnsi="Times New Roman"/>
              </w:rPr>
              <w:t>uczenia się</w:t>
            </w:r>
            <w:r w:rsidRPr="5409FC1E" w:rsidR="00CD36F8">
              <w:rPr>
                <w:rFonts w:ascii="Times New Roman" w:hAnsi="Times New Roman"/>
              </w:rPr>
              <w:t>)</w:t>
            </w:r>
          </w:p>
          <w:p w:rsidR="00CD36F8" w:rsidRDefault="00CD36F8" w14:paraId="3DBA4694" w14:textId="77777777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2E326E7D" w14:textId="4EBCB0D0">
            <w:pPr>
              <w:spacing w:after="0" w:line="240" w:lineRule="auto"/>
              <w:rPr>
                <w:rFonts w:ascii="Times New Roman" w:hAnsi="Times New Roman"/>
              </w:rPr>
            </w:pPr>
            <w:r w:rsidRPr="5409FC1E" w:rsidR="00CD36F8">
              <w:rPr>
                <w:rFonts w:ascii="Times New Roman" w:hAnsi="Times New Roman"/>
              </w:rPr>
              <w:t xml:space="preserve">Treść efektu </w:t>
            </w:r>
            <w:r w:rsidRPr="5409FC1E" w:rsidR="5D94AD81">
              <w:rPr>
                <w:rFonts w:ascii="Times New Roman" w:hAnsi="Times New Roman"/>
              </w:rPr>
              <w:t xml:space="preserve">uczenia się </w:t>
            </w:r>
            <w:r w:rsidRPr="5409FC1E" w:rsidR="00CD36F8">
              <w:rPr>
                <w:rFonts w:ascii="Times New Roman" w:hAnsi="Times New Roman"/>
              </w:rPr>
              <w:t xml:space="preserve">zdefiniowanego dla przedmiotu </w:t>
            </w:r>
          </w:p>
        </w:tc>
        <w:tc>
          <w:tcPr>
            <w:tcW w:w="19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5409FC1E" w:rsidRDefault="00CD36F8" w14:paraId="5FC57944" w14:textId="062593A1">
            <w:pPr>
              <w:spacing w:after="0" w:line="240" w:lineRule="auto"/>
              <w:rPr>
                <w:rFonts w:ascii="Times New Roman" w:hAnsi="Times New Roman"/>
                <w:b w:val="1"/>
                <w:bCs w:val="1"/>
              </w:rPr>
            </w:pPr>
            <w:r w:rsidRPr="5409FC1E" w:rsidR="00CD36F8">
              <w:rPr>
                <w:rFonts w:ascii="Times New Roman" w:hAnsi="Times New Roman"/>
              </w:rPr>
              <w:t xml:space="preserve">Odniesienie do efektów  kierunkowych </w:t>
            </w:r>
          </w:p>
        </w:tc>
      </w:tr>
      <w:tr w:rsidR="00CD36F8" w:rsidTr="0D592E48" w14:paraId="7C0D7C6C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5409FC1E" w:rsidRDefault="00CB3B19" w14:paraId="2279DC5E" w14:textId="176F31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409FC1E" w:rsidR="5A96CE2B">
              <w:rPr>
                <w:rFonts w:ascii="Corbel" w:hAnsi="Corbel"/>
                <w:sz w:val="24"/>
                <w:szCs w:val="24"/>
              </w:rPr>
              <w:t>EK_0</w:t>
            </w:r>
            <w:r w:rsidRPr="5409FC1E" w:rsidR="6894CA8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2A4751" w:rsidRDefault="00CB3B19" w14:paraId="3807C330" w14:textId="4CD51676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ascii="Corbel" w:hAnsi="Corbel"/>
                <w:sz w:val="24"/>
                <w:szCs w:val="24"/>
              </w:rPr>
              <w:t>ma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administracji;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409FC1E" w:rsidP="5409FC1E" w:rsidRDefault="5409FC1E" w14:noSpellErr="1" w14:paraId="0D3D3A4B" w14:textId="17B121CA">
            <w:pPr>
              <w:spacing w:after="0" w:line="240" w:lineRule="auto"/>
              <w:rPr>
                <w:rFonts w:eastAsia="Cambria"/>
              </w:rPr>
            </w:pPr>
            <w:r w:rsidRPr="5409FC1E" w:rsidR="5409FC1E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A4751" w:rsidTr="0D592E48" w14:paraId="6A717774" w14:textId="77777777">
        <w:trPr>
          <w:trHeight w:val="910"/>
        </w:trPr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2A4751" w:rsidP="5409FC1E" w:rsidRDefault="00CB3B19" w14:paraId="247AA5B8" w14:textId="25A9E7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409FC1E" w:rsidR="6079326D">
              <w:rPr>
                <w:rFonts w:ascii="Corbel" w:hAnsi="Corbel"/>
                <w:sz w:val="24"/>
                <w:szCs w:val="24"/>
              </w:rPr>
              <w:t>EK_0</w:t>
            </w:r>
            <w:r w:rsidRPr="5409FC1E" w:rsidR="157A95E8">
              <w:rPr>
                <w:rFonts w:ascii="Corbel" w:hAnsi="Corbel"/>
                <w:sz w:val="24"/>
                <w:szCs w:val="24"/>
              </w:rPr>
              <w:t>2</w:t>
            </w:r>
          </w:p>
          <w:p w:rsidR="002A4751" w:rsidP="5409FC1E" w:rsidRDefault="00CB3B19" w14:paraId="2C6B3C1D" w14:textId="4990A951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2A4751" w:rsidRDefault="000333E1" w14:paraId="28EDE832" w14:textId="6EE095B5">
            <w:pPr>
              <w:spacing w:after="0" w:line="240" w:lineRule="auto"/>
              <w:jc w:val="both"/>
              <w:rPr>
                <w:rFonts w:eastAsia="Cambria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>ma podstawową wiedzę o relacjach między strukturami i instytucjami administracji publicznej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409FC1E" w:rsidP="5409FC1E" w:rsidRDefault="5409FC1E" w14:noSpellErr="1" w14:paraId="057963A6" w14:textId="71291AB3">
            <w:pPr>
              <w:spacing w:after="0" w:line="240" w:lineRule="auto"/>
              <w:rPr>
                <w:rFonts w:ascii="Times New Roman" w:hAnsi="Times New Roman"/>
              </w:rPr>
            </w:pPr>
            <w:r w:rsidRPr="5409FC1E" w:rsidR="5409FC1E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CD36F8" w:rsidTr="0D592E48" w14:paraId="6CD5BA0A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5409FC1E" w:rsidRDefault="000333E1" w14:paraId="7B109CB8" w14:textId="772621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409FC1E" w:rsidR="0328A653">
              <w:rPr>
                <w:rFonts w:ascii="Corbel" w:hAnsi="Corbel"/>
                <w:sz w:val="24"/>
                <w:szCs w:val="24"/>
              </w:rPr>
              <w:t>EK_0</w:t>
            </w:r>
            <w:r w:rsidRPr="5409FC1E" w:rsidR="11AB727E">
              <w:rPr>
                <w:rFonts w:ascii="Corbel" w:hAnsi="Corbel"/>
                <w:sz w:val="24"/>
                <w:szCs w:val="24"/>
              </w:rPr>
              <w:t>3</w:t>
            </w:r>
          </w:p>
          <w:p w:rsidR="00CD36F8" w:rsidP="5409FC1E" w:rsidRDefault="000333E1" w14:paraId="1E0095DA" w14:textId="7CD1BBB5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000333E1" w:rsidRDefault="000333E1" w14:paraId="17819793" w14:textId="0E6DE3B6">
            <w:pPr>
              <w:spacing w:after="0" w:line="240" w:lineRule="auto"/>
              <w:jc w:val="both"/>
              <w:rPr>
                <w:rFonts w:eastAsia="Cambria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 xml:space="preserve">zna podstawową terminologię z zakresu </w:t>
            </w:r>
            <w:r>
              <w:rPr>
                <w:rFonts w:ascii="Corbel" w:hAnsi="Corbel"/>
                <w:sz w:val="24"/>
                <w:szCs w:val="24"/>
              </w:rPr>
              <w:t>postępowania administracyjnego</w:t>
            </w:r>
            <w:r w:rsidRPr="00372DCF">
              <w:rPr>
                <w:rFonts w:ascii="Corbel" w:hAnsi="Corbel"/>
                <w:sz w:val="24"/>
                <w:szCs w:val="24"/>
              </w:rPr>
              <w:t xml:space="preserve"> realizowanych według planu studiów administracyjnych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409FC1E" w:rsidP="5409FC1E" w:rsidRDefault="5409FC1E" w14:noSpellErr="1" w14:paraId="38F6D9E0" w14:textId="34B919B3">
            <w:pPr>
              <w:spacing w:after="0" w:line="240" w:lineRule="auto"/>
              <w:rPr>
                <w:rFonts w:eastAsia="Cambria"/>
              </w:rPr>
            </w:pPr>
            <w:r w:rsidRPr="5409FC1E" w:rsidR="5409FC1E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7444C0" w:rsidTr="0D592E48" w14:paraId="60B21B34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7444C0" w:rsidP="5409FC1E" w:rsidRDefault="000333E1" w14:paraId="4515BF22" w14:textId="052FA8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409FC1E" w:rsidR="0B5B7F3F">
              <w:rPr>
                <w:rFonts w:ascii="Corbel" w:hAnsi="Corbel"/>
                <w:sz w:val="24"/>
                <w:szCs w:val="24"/>
              </w:rPr>
              <w:t>EK_0</w:t>
            </w:r>
            <w:r w:rsidRPr="5409FC1E" w:rsidR="0EA6051D">
              <w:rPr>
                <w:rFonts w:ascii="Corbel" w:hAnsi="Corbel"/>
                <w:sz w:val="24"/>
                <w:szCs w:val="24"/>
              </w:rPr>
              <w:t>4</w:t>
            </w:r>
          </w:p>
          <w:p w:rsidR="007444C0" w:rsidP="5409FC1E" w:rsidRDefault="000333E1" w14:paraId="5E4F0AA4" w14:textId="45D18FF3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7444C0" w:rsidRDefault="000333E1" w14:paraId="19581CE8" w14:textId="4DE72A20">
            <w:pPr>
              <w:spacing w:after="0" w:line="240" w:lineRule="auto"/>
              <w:jc w:val="both"/>
              <w:rPr>
                <w:rFonts w:eastAsia="Cambria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>zna i rozumie metody, narzędzia i techniki pozyskiwania danych właściwe dla nauk administracyjnych pozwalające opisywać organy administracji publicznej, ich struktury oraz zasady działania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409FC1E" w:rsidP="5409FC1E" w:rsidRDefault="5409FC1E" w14:noSpellErr="1" w14:paraId="29526BF2" w14:textId="74CF109D">
            <w:pPr>
              <w:spacing w:after="0" w:line="240" w:lineRule="auto"/>
              <w:rPr>
                <w:rFonts w:ascii="Times New Roman" w:hAnsi="Times New Roman"/>
              </w:rPr>
            </w:pPr>
            <w:r w:rsidRPr="5409FC1E" w:rsidR="5409FC1E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CD36F8" w:rsidTr="0D592E48" w14:paraId="03219580" w14:textId="77777777">
        <w:trPr>
          <w:trHeight w:val="883"/>
        </w:trPr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5409FC1E" w:rsidRDefault="000333E1" w14:paraId="5144E9DC" w14:textId="7C3D07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409FC1E" w:rsidR="44A07F7E">
              <w:rPr>
                <w:rFonts w:ascii="Corbel" w:hAnsi="Corbel"/>
                <w:sz w:val="24"/>
                <w:szCs w:val="24"/>
              </w:rPr>
              <w:t>EK_0</w:t>
            </w:r>
            <w:r w:rsidRPr="5409FC1E" w:rsidR="6593E73F">
              <w:rPr>
                <w:rFonts w:ascii="Corbel" w:hAnsi="Corbel"/>
                <w:sz w:val="24"/>
                <w:szCs w:val="24"/>
              </w:rPr>
              <w:t>5</w:t>
            </w:r>
          </w:p>
          <w:p w:rsidR="00CD36F8" w:rsidP="5409FC1E" w:rsidRDefault="000333E1" w14:paraId="2BCA8531" w14:textId="1BCFCCEC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0333E1" w14:paraId="1364607A" w14:textId="2FDF23DD">
            <w:pPr>
              <w:spacing w:after="0" w:line="240" w:lineRule="auto"/>
              <w:jc w:val="both"/>
              <w:rPr>
                <w:rFonts w:eastAsia="Cambria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>posiada wiedzę o źródłach prawa, o  normach i regułach (prawnych, moralnych, etycznych  i organizacyjnych) wykorzystywanych w naukach administracyjnych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409FC1E" w:rsidP="5409FC1E" w:rsidRDefault="5409FC1E" w14:noSpellErr="1" w14:paraId="4DED6B10" w14:textId="1DD93100">
            <w:pPr>
              <w:spacing w:after="0" w:line="240" w:lineRule="auto"/>
              <w:rPr>
                <w:rFonts w:eastAsia="Cambria"/>
              </w:rPr>
            </w:pPr>
            <w:r w:rsidRPr="5409FC1E" w:rsidR="5409FC1E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CD36F8" w:rsidTr="0D592E48" w14:paraId="448A2801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5409FC1E" w:rsidRDefault="000333E1" w14:paraId="46E1550A" w14:textId="5452B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409FC1E" w:rsidR="7199D83F">
              <w:rPr>
                <w:rFonts w:ascii="Corbel" w:hAnsi="Corbel"/>
                <w:sz w:val="24"/>
                <w:szCs w:val="24"/>
              </w:rPr>
              <w:t>EK_0</w:t>
            </w:r>
            <w:r w:rsidRPr="5409FC1E" w:rsidR="1DC66452">
              <w:rPr>
                <w:rFonts w:ascii="Corbel" w:hAnsi="Corbel"/>
                <w:sz w:val="24"/>
                <w:szCs w:val="24"/>
              </w:rPr>
              <w:t>6</w:t>
            </w:r>
          </w:p>
          <w:p w:rsidR="00CD36F8" w:rsidP="5409FC1E" w:rsidRDefault="000333E1" w14:paraId="3A710C58" w14:textId="598D5461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0333E1" w14:paraId="1DF35255" w14:textId="7943ABAF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ascii="Corbel" w:hAnsi="Corbel"/>
                <w:sz w:val="24"/>
                <w:szCs w:val="24"/>
              </w:rPr>
              <w:t>potrafi prawidłowo identyfikować i  interpretować zjawiska prawne, społeczne, ekonomiczne, polityczne i organizacyjne, analizować ich powiązania z różnymi obszarami działalności administracyjnej;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409FC1E" w:rsidP="5409FC1E" w:rsidRDefault="5409FC1E" w14:noSpellErr="1" w14:paraId="79D1FFD9" w14:textId="73CD527B">
            <w:pPr>
              <w:spacing w:after="0" w:line="240" w:lineRule="auto"/>
              <w:rPr>
                <w:rFonts w:eastAsia="Cambria"/>
              </w:rPr>
            </w:pPr>
            <w:r w:rsidRPr="5409FC1E" w:rsidR="5409FC1E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444C0" w:rsidTr="0D592E48" w14:paraId="742CF75C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7444C0" w:rsidP="5409FC1E" w:rsidRDefault="000333E1" w14:paraId="19092F32" w14:textId="18AEA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409FC1E" w:rsidR="23D835F2">
              <w:rPr>
                <w:rFonts w:ascii="Corbel" w:hAnsi="Corbel"/>
                <w:sz w:val="24"/>
                <w:szCs w:val="24"/>
              </w:rPr>
              <w:t>EK_0</w:t>
            </w:r>
            <w:r w:rsidRPr="5409FC1E" w:rsidR="64D570AB">
              <w:rPr>
                <w:rFonts w:ascii="Corbel" w:hAnsi="Corbel"/>
                <w:sz w:val="24"/>
                <w:szCs w:val="24"/>
              </w:rPr>
              <w:t>7</w:t>
            </w:r>
          </w:p>
          <w:p w:rsidR="007444C0" w:rsidP="5409FC1E" w:rsidRDefault="000333E1" w14:paraId="032D8C41" w14:textId="62A45836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7444C0" w:rsidRDefault="000333E1" w14:paraId="056A3D95" w14:textId="0F3B80E6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ascii="Corbel" w:hAnsi="Corbel"/>
                <w:sz w:val="24"/>
                <w:szCs w:val="24"/>
              </w:rPr>
              <w:t>posiada umiejętność wykorzystania zdobytej  wiedzy teoretycznej z dziedziny nauk administracyjnych do analizowania konkretnych procesów i zjawisk społecznych w administracji;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409FC1E" w:rsidP="5409FC1E" w:rsidRDefault="5409FC1E" w14:noSpellErr="1" w14:paraId="75216E59" w14:textId="2699DF80">
            <w:pPr>
              <w:spacing w:after="0" w:line="240" w:lineRule="auto"/>
              <w:rPr>
                <w:rFonts w:ascii="Times New Roman" w:hAnsi="Times New Roman"/>
              </w:rPr>
            </w:pPr>
            <w:r w:rsidRPr="5409FC1E" w:rsidR="5409FC1E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CD36F8" w:rsidTr="0D592E48" w14:paraId="379E826C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5409FC1E" w:rsidRDefault="000333E1" w14:paraId="69597891" w14:textId="29F71A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 w:rsidR="4FA1E6FF">
              <w:rPr>
                <w:rFonts w:ascii="Corbel" w:hAnsi="Corbel"/>
                <w:sz w:val="24"/>
                <w:szCs w:val="24"/>
              </w:rPr>
              <w:t>EK_0</w:t>
            </w:r>
            <w:r w:rsidRPr="0D592E48" w:rsidR="331A1433">
              <w:rPr>
                <w:rFonts w:ascii="Corbel" w:hAnsi="Corbel"/>
                <w:sz w:val="24"/>
                <w:szCs w:val="24"/>
              </w:rPr>
              <w:t>8</w:t>
            </w:r>
          </w:p>
          <w:p w:rsidR="00CD36F8" w:rsidP="5409FC1E" w:rsidRDefault="000333E1" w14:paraId="1A07A548" w14:textId="4AC6F58C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0333E1" w14:paraId="325C7B85" w14:textId="6431C44D">
            <w:pPr>
              <w:spacing w:after="0" w:line="240" w:lineRule="auto"/>
              <w:jc w:val="both"/>
              <w:rPr>
                <w:rFonts w:eastAsia="Cambria"/>
              </w:rPr>
            </w:pPr>
            <w:r w:rsidRPr="00F56BF1">
              <w:rPr>
                <w:rFonts w:ascii="Corbel" w:hAnsi="Corbel"/>
                <w:sz w:val="24"/>
                <w:szCs w:val="24"/>
              </w:rPr>
              <w:t xml:space="preserve">potrafi analizować i interpretować teksty prawne </w:t>
            </w:r>
            <w:r w:rsidRPr="00BE3717">
              <w:t>i</w:t>
            </w:r>
            <w:r>
              <w:t> </w:t>
            </w:r>
            <w:r w:rsidRPr="00BE3717">
              <w:t>naukowe</w:t>
            </w:r>
            <w:r w:rsidRPr="00F56BF1">
              <w:rPr>
                <w:rFonts w:ascii="Corbel" w:hAnsi="Corbel"/>
                <w:sz w:val="24"/>
                <w:szCs w:val="24"/>
              </w:rPr>
              <w:t xml:space="preserve"> oraz wykorzystywać orzecznictwo w celu rozwiązywania podstawowych problemów będących przedmiotem analizy;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409FC1E" w:rsidP="5409FC1E" w:rsidRDefault="5409FC1E" w14:noSpellErr="1" w14:paraId="2014A1FE" w14:textId="7A1CEF23">
            <w:pPr>
              <w:spacing w:after="0" w:line="240" w:lineRule="auto"/>
              <w:rPr>
                <w:rFonts w:eastAsia="Cambria"/>
              </w:rPr>
            </w:pPr>
            <w:r w:rsidRPr="5409FC1E" w:rsidR="5409FC1E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D36F8" w:rsidTr="0D592E48" w14:paraId="16403E57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5409FC1E" w:rsidRDefault="000333E1" w14:paraId="6FBA784C" w14:textId="7E22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 w:rsidR="61D02633">
              <w:rPr>
                <w:rFonts w:ascii="Corbel" w:hAnsi="Corbel"/>
                <w:sz w:val="24"/>
                <w:szCs w:val="24"/>
              </w:rPr>
              <w:t>EK_</w:t>
            </w:r>
            <w:r w:rsidRPr="0D592E48" w:rsidR="66512AEB">
              <w:rPr>
                <w:rFonts w:ascii="Corbel" w:hAnsi="Corbel"/>
                <w:sz w:val="24"/>
                <w:szCs w:val="24"/>
              </w:rPr>
              <w:t>9</w:t>
            </w:r>
          </w:p>
          <w:p w:rsidR="00CD36F8" w:rsidP="5409FC1E" w:rsidRDefault="000333E1" w14:paraId="56FE4CE3" w14:textId="02E1DCAE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0333E1" w14:paraId="74D890A1" w14:textId="6F5AA2C4">
            <w:pPr>
              <w:spacing w:after="0" w:line="240" w:lineRule="auto"/>
              <w:jc w:val="both"/>
              <w:rPr>
                <w:rFonts w:eastAsia="Cambria"/>
              </w:rPr>
            </w:pPr>
            <w:r w:rsidRPr="00F56BF1">
              <w:rPr>
                <w:rFonts w:ascii="Corbel" w:hAnsi="Corbel"/>
                <w:sz w:val="24"/>
                <w:szCs w:val="24"/>
              </w:rPr>
              <w:t xml:space="preserve">potrafi posługiwać się podstawową wiedzą teoretyczną w celu analizowania, interpretowania oraz projektowania strategii działań w administracji, potrafi znaleźć rozwiązania konkretnych problemów pojawiających się w stosowaniu przepisów prawnych </w:t>
            </w:r>
            <w:r w:rsidRPr="00BE3717">
              <w:t>i</w:t>
            </w:r>
            <w:r>
              <w:t> </w:t>
            </w:r>
            <w:r w:rsidRPr="00BE3717">
              <w:t>prognozować</w:t>
            </w:r>
            <w:r w:rsidRPr="00F56BF1">
              <w:rPr>
                <w:rFonts w:ascii="Corbel" w:hAnsi="Corbel"/>
                <w:sz w:val="24"/>
                <w:szCs w:val="24"/>
              </w:rPr>
              <w:t xml:space="preserve"> przebieg ich rozwiązywania oraz przewidywać skutki planowanych działań;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409FC1E" w:rsidP="5409FC1E" w:rsidRDefault="5409FC1E" w14:noSpellErr="1" w14:paraId="17EC7581" w14:textId="7D87ECF0">
            <w:pPr>
              <w:spacing w:after="0" w:line="240" w:lineRule="auto"/>
              <w:rPr>
                <w:rFonts w:eastAsia="Cambria"/>
              </w:rPr>
            </w:pPr>
            <w:r w:rsidRPr="5409FC1E" w:rsidR="5409FC1E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CD36F8" w:rsidTr="0D592E48" w14:paraId="5C2C222D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5409FC1E" w:rsidRDefault="000333E1" w14:paraId="564607C6" w14:textId="68232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 w:rsidR="78CE7A87">
              <w:rPr>
                <w:rFonts w:ascii="Corbel" w:hAnsi="Corbel"/>
                <w:sz w:val="24"/>
                <w:szCs w:val="24"/>
              </w:rPr>
              <w:t>EK_</w:t>
            </w:r>
            <w:r w:rsidRPr="0D592E48" w:rsidR="613FBB2E">
              <w:rPr>
                <w:rFonts w:ascii="Corbel" w:hAnsi="Corbel"/>
                <w:sz w:val="24"/>
                <w:szCs w:val="24"/>
              </w:rPr>
              <w:t>1</w:t>
            </w:r>
            <w:r w:rsidRPr="0D592E48" w:rsidR="6AF1A09D">
              <w:rPr>
                <w:rFonts w:ascii="Corbel" w:hAnsi="Corbel"/>
                <w:sz w:val="24"/>
                <w:szCs w:val="24"/>
              </w:rPr>
              <w:t>0</w:t>
            </w:r>
          </w:p>
          <w:p w:rsidR="00CD36F8" w:rsidP="5409FC1E" w:rsidRDefault="000333E1" w14:paraId="39A45956" w14:textId="1C6EEF93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000333E1" w:rsidRDefault="008A2005" w14:paraId="710407E3" w14:textId="396F5145">
            <w:pPr>
              <w:spacing w:after="0" w:line="240" w:lineRule="auto"/>
              <w:jc w:val="both"/>
              <w:rPr>
                <w:rFonts w:eastAsia="Cambria"/>
              </w:rPr>
            </w:pPr>
            <w:r w:rsidRPr="00625570">
              <w:rPr>
                <w:rFonts w:ascii="Corbel" w:hAnsi="Corbel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625570">
              <w:rPr>
                <w:rFonts w:ascii="Corbel" w:hAnsi="Corbel"/>
                <w:sz w:val="24"/>
                <w:szCs w:val="24"/>
              </w:rPr>
              <w:t>wykorzystaniem ujęć teoretycznych, a także różnych źródeł;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409FC1E" w:rsidP="5409FC1E" w:rsidRDefault="5409FC1E" w14:noSpellErr="1" w14:paraId="1C67596D" w14:textId="561D3461">
            <w:pPr>
              <w:spacing w:after="0" w:line="240" w:lineRule="auto"/>
              <w:rPr>
                <w:rFonts w:eastAsia="Cambria"/>
              </w:rPr>
            </w:pPr>
            <w:r w:rsidRPr="5409FC1E" w:rsidR="5409FC1E">
              <w:rPr>
                <w:rFonts w:ascii="Corbel" w:hAnsi="Corbel"/>
                <w:sz w:val="24"/>
                <w:szCs w:val="24"/>
              </w:rPr>
              <w:t>K_U0</w:t>
            </w:r>
            <w:r w:rsidRPr="5409FC1E" w:rsidR="5409FC1E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444C0" w:rsidTr="0D592E48" w14:paraId="235A02ED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7444C0" w:rsidP="5409FC1E" w:rsidRDefault="008A2005" w14:paraId="3E9FAFBE" w14:textId="22EAE6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 w:rsidR="2F3AC0CA">
              <w:rPr>
                <w:rFonts w:ascii="Corbel" w:hAnsi="Corbel"/>
                <w:sz w:val="24"/>
                <w:szCs w:val="24"/>
              </w:rPr>
              <w:t>EK_</w:t>
            </w:r>
            <w:r w:rsidRPr="0D592E48" w:rsidR="31E30449">
              <w:rPr>
                <w:rFonts w:ascii="Corbel" w:hAnsi="Corbel"/>
                <w:sz w:val="24"/>
                <w:szCs w:val="24"/>
              </w:rPr>
              <w:t>1</w:t>
            </w:r>
            <w:r w:rsidRPr="0D592E48" w:rsidR="545CBCF5">
              <w:rPr>
                <w:rFonts w:ascii="Corbel" w:hAnsi="Corbel"/>
                <w:sz w:val="24"/>
                <w:szCs w:val="24"/>
              </w:rPr>
              <w:t>1</w:t>
            </w:r>
          </w:p>
          <w:p w:rsidR="007444C0" w:rsidP="5409FC1E" w:rsidRDefault="008A2005" w14:paraId="54D95A32" w14:textId="28377F05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7444C0" w:rsidRDefault="008A2005" w14:paraId="31660715" w14:textId="3B0C4288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ascii="Corbel" w:hAnsi="Corbel"/>
                <w:sz w:val="24"/>
                <w:szCs w:val="24"/>
              </w:rPr>
              <w:t>ma świadomość</w:t>
            </w:r>
            <w:r w:rsidRPr="004A2F53">
              <w:rPr>
                <w:rFonts w:ascii="Corbel" w:hAnsi="Corbel"/>
                <w:sz w:val="24"/>
                <w:szCs w:val="24"/>
              </w:rPr>
              <w:t xml:space="preserve"> poziomu swojej wiedzy  i rozumie potrzebę dalszego kształcenia się i rozwoju zawodowego</w:t>
            </w:r>
            <w:r>
              <w:rPr>
                <w:rFonts w:ascii="Corbel" w:hAnsi="Corbel"/>
                <w:sz w:val="24"/>
                <w:szCs w:val="24"/>
              </w:rPr>
              <w:t>; j</w:t>
            </w:r>
            <w:r w:rsidRPr="004A2F53">
              <w:rPr>
                <w:rFonts w:ascii="Corbel" w:hAnsi="Corbel"/>
                <w:sz w:val="24"/>
                <w:szCs w:val="24"/>
              </w:rPr>
              <w:t>est przygotowany do podjęcia studiów drugiego stopnia oraz podnoszenia kompetencji zawodowych, osobistych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409FC1E" w:rsidP="5409FC1E" w:rsidRDefault="5409FC1E" w14:noSpellErr="1" w14:paraId="136A7C08" w14:textId="3A136DF0">
            <w:pPr>
              <w:spacing w:after="0" w:line="240" w:lineRule="auto"/>
              <w:rPr>
                <w:rFonts w:ascii="Times New Roman" w:hAnsi="Times New Roman"/>
              </w:rPr>
            </w:pPr>
            <w:r w:rsidRPr="5409FC1E" w:rsidR="5409FC1E"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CD36F8" w:rsidTr="0D592E48" w14:paraId="29C1C915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5409FC1E" w:rsidRDefault="008A2005" w14:paraId="1A6D05EE" w14:textId="027697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 w:rsidR="18374C20">
              <w:rPr>
                <w:rFonts w:ascii="Corbel" w:hAnsi="Corbel"/>
                <w:sz w:val="24"/>
                <w:szCs w:val="24"/>
              </w:rPr>
              <w:t>EK_</w:t>
            </w:r>
            <w:r w:rsidRPr="0D592E48" w:rsidR="4577F72A">
              <w:rPr>
                <w:rFonts w:ascii="Corbel" w:hAnsi="Corbel"/>
                <w:sz w:val="24"/>
                <w:szCs w:val="24"/>
              </w:rPr>
              <w:t>1</w:t>
            </w:r>
            <w:r w:rsidRPr="0D592E48" w:rsidR="17639832">
              <w:rPr>
                <w:rFonts w:ascii="Corbel" w:hAnsi="Corbel"/>
                <w:sz w:val="24"/>
                <w:szCs w:val="24"/>
              </w:rPr>
              <w:t>2</w:t>
            </w:r>
          </w:p>
          <w:p w:rsidR="00CD36F8" w:rsidP="5409FC1E" w:rsidRDefault="008A2005" w14:paraId="1E81F67D" w14:textId="7D71940F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8A2005" w14:paraId="7AD9E4EF" w14:textId="435D6854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ascii="Corbel" w:hAnsi="Corbel"/>
                <w:sz w:val="24"/>
                <w:szCs w:val="24"/>
              </w:rPr>
              <w:t>jest gotów do p</w:t>
            </w:r>
            <w:r w:rsidRPr="003106B4">
              <w:rPr>
                <w:rFonts w:ascii="Corbel" w:hAnsi="Corbel"/>
                <w:sz w:val="24"/>
                <w:szCs w:val="24"/>
              </w:rPr>
              <w:t>osług</w:t>
            </w:r>
            <w:r>
              <w:rPr>
                <w:rFonts w:ascii="Corbel" w:hAnsi="Corbel"/>
                <w:sz w:val="24"/>
                <w:szCs w:val="24"/>
              </w:rPr>
              <w:t>iwania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się wiedzą</w:t>
            </w:r>
            <w:r>
              <w:rPr>
                <w:rFonts w:ascii="Corbel" w:hAnsi="Corbel"/>
                <w:sz w:val="24"/>
                <w:szCs w:val="24"/>
              </w:rPr>
              <w:t xml:space="preserve"> i opiniami ekspertów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z zakresu nauk o administracji oraz prawidłow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 samodzielnego </w:t>
            </w:r>
            <w:r w:rsidRPr="003106B4">
              <w:rPr>
                <w:rFonts w:ascii="Corbel" w:hAnsi="Corbel"/>
                <w:sz w:val="24"/>
                <w:szCs w:val="24"/>
              </w:rPr>
              <w:t>identyfik</w:t>
            </w:r>
            <w:r>
              <w:rPr>
                <w:rFonts w:ascii="Corbel" w:hAnsi="Corbel"/>
                <w:sz w:val="24"/>
                <w:szCs w:val="24"/>
              </w:rPr>
              <w:t>owania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roz</w:t>
            </w:r>
            <w:r>
              <w:rPr>
                <w:rFonts w:ascii="Corbel" w:hAnsi="Corbel"/>
                <w:sz w:val="24"/>
                <w:szCs w:val="24"/>
              </w:rPr>
              <w:t xml:space="preserve">wiązywania problemów </w:t>
            </w:r>
            <w:r w:rsidRPr="003106B4">
              <w:rPr>
                <w:rFonts w:ascii="Corbel" w:hAnsi="Corbel"/>
                <w:sz w:val="24"/>
                <w:szCs w:val="24"/>
              </w:rPr>
              <w:t>związan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z wykonywaniem zawodu urzędnika administracji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409FC1E" w:rsidP="5409FC1E" w:rsidRDefault="5409FC1E" w14:noSpellErr="1" w14:paraId="2E49FFD3" w14:textId="2B531410">
            <w:pPr>
              <w:spacing w:after="0" w:line="240" w:lineRule="auto"/>
              <w:rPr>
                <w:rFonts w:eastAsia="Cambria"/>
              </w:rPr>
            </w:pPr>
            <w:r w:rsidRPr="5409FC1E" w:rsidR="5409FC1E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CD36F8" w:rsidTr="0D592E48" w14:paraId="5325435D" w14:textId="77777777">
        <w:tc>
          <w:tcPr>
            <w:tcW w:w="1699" w:type="dxa"/>
            <w:tcBorders>
              <w:lef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P="5409FC1E" w:rsidRDefault="008A2005" w14:paraId="0A4C04FF" w14:noSpellErr="1" w14:textId="281629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8A2005" w14:paraId="2168605D" w14:textId="5CAE90AC">
            <w:pPr>
              <w:spacing w:after="0" w:line="240" w:lineRule="auto"/>
              <w:jc w:val="both"/>
              <w:rPr>
                <w:rFonts w:eastAsia="Cambria"/>
                <w:smallCaps/>
              </w:rPr>
            </w:pPr>
            <w:r>
              <w:rPr>
                <w:rFonts w:ascii="Corbel" w:hAnsi="Corbel"/>
                <w:sz w:val="24"/>
                <w:szCs w:val="24"/>
              </w:rPr>
              <w:t>jest gotów do inicjowania działania i współdziałania na rzecz interesu społecznego z uwzględnieniem wymogów prawnych, administracyjnych i ekonomicznych;</w:t>
            </w:r>
          </w:p>
        </w:tc>
        <w:tc>
          <w:tcPr>
            <w:tcW w:w="1925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409FC1E" w:rsidP="5409FC1E" w:rsidRDefault="5409FC1E" w14:noSpellErr="1" w14:paraId="5CD36D3A" w14:textId="547FF76C">
            <w:pPr>
              <w:spacing w:after="0" w:line="240" w:lineRule="auto"/>
              <w:rPr>
                <w:rFonts w:eastAsia="Cambria"/>
                <w:smallCaps w:val="1"/>
              </w:rPr>
            </w:pPr>
            <w:r w:rsidRPr="5409FC1E" w:rsidR="5409FC1E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  <w:tr w:rsidR="007053B6" w:rsidTr="0D592E48" w14:paraId="160E5A9A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7053B6" w:rsidP="5409FC1E" w:rsidRDefault="008A2005" w14:paraId="2ACCE763" w14:textId="4D1FB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 w:rsidR="59102F46">
              <w:rPr>
                <w:rFonts w:ascii="Corbel" w:hAnsi="Corbel"/>
                <w:sz w:val="24"/>
                <w:szCs w:val="24"/>
              </w:rPr>
              <w:t>EK_</w:t>
            </w:r>
            <w:r w:rsidRPr="0D592E48" w:rsidR="50E09AE6">
              <w:rPr>
                <w:rFonts w:ascii="Corbel" w:hAnsi="Corbel"/>
                <w:sz w:val="24"/>
                <w:szCs w:val="24"/>
              </w:rPr>
              <w:t>1</w:t>
            </w:r>
            <w:r w:rsidRPr="0D592E48" w:rsidR="12AFC969">
              <w:rPr>
                <w:rFonts w:ascii="Corbel" w:hAnsi="Corbel"/>
                <w:sz w:val="24"/>
                <w:szCs w:val="24"/>
              </w:rPr>
              <w:t>3</w:t>
            </w:r>
          </w:p>
          <w:p w:rsidR="007053B6" w:rsidP="5409FC1E" w:rsidRDefault="008A2005" w14:paraId="57962040" w14:textId="2ADA4BF6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7053B6" w:rsidP="0D592E48" w:rsidRDefault="008A2005" w14:paraId="35600C72" w14:textId="70FA8B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409FC1E" w:rsidP="0D592E48" w:rsidRDefault="5409FC1E" w14:paraId="04F75A9C" w14:textId="7B6F98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D592E48" w:rsidTr="0D592E48" w14:paraId="240AC706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5F17104A" w:rsidP="0D592E48" w:rsidRDefault="5F17104A" w14:paraId="1793F36E" w14:textId="4A2C9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 w:rsidR="5F17104A">
              <w:rPr>
                <w:rFonts w:ascii="Corbel" w:hAnsi="Corbel"/>
                <w:sz w:val="24"/>
                <w:szCs w:val="24"/>
              </w:rPr>
              <w:t>EK_1</w:t>
            </w:r>
            <w:r w:rsidRPr="0D592E48" w:rsidR="064B2B9E">
              <w:rPr>
                <w:rFonts w:ascii="Corbel" w:hAnsi="Corbel"/>
                <w:sz w:val="24"/>
                <w:szCs w:val="24"/>
              </w:rPr>
              <w:t>4</w:t>
            </w:r>
          </w:p>
          <w:p w:rsidR="0D592E48" w:rsidP="0D592E48" w:rsidRDefault="0D592E48" w14:paraId="44872222" w14:textId="6FE55163">
            <w:pPr>
              <w:pStyle w:val="Normalny"/>
              <w:spacing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  <w:tc>
          <w:tcPr>
            <w:tcW w:w="60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5F17104A" w:rsidP="0D592E48" w:rsidRDefault="5F17104A" w14:paraId="3BCB9231" w14:textId="38EC704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Corbel" w:hAnsi="Corbel"/>
                <w:sz w:val="24"/>
                <w:szCs w:val="24"/>
              </w:rPr>
            </w:pPr>
            <w:r w:rsidRPr="0D592E48" w:rsidR="5F17104A">
              <w:rPr>
                <w:rFonts w:ascii="Corbel" w:hAnsi="Corbel"/>
                <w:sz w:val="24"/>
                <w:szCs w:val="24"/>
              </w:rPr>
              <w:t>Jest gotów do przedsiębiorczego i kreatywnego myślenia oraz działania z wykorzystaniem wiedzy zdobytej w trakcie studiów</w:t>
            </w:r>
          </w:p>
          <w:p w:rsidR="0D592E48" w:rsidP="0D592E48" w:rsidRDefault="0D592E48" w14:paraId="0914D2B4" w14:textId="66C1204C">
            <w:pPr>
              <w:pStyle w:val="Normalny"/>
              <w:spacing w:line="240" w:lineRule="auto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  <w:tc>
          <w:tcPr>
            <w:tcW w:w="192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5F17104A" w:rsidP="0D592E48" w:rsidRDefault="5F17104A" w14:paraId="4D230D55" w14:textId="7A1AF9DD">
            <w:pPr>
              <w:pStyle w:val="Normalny"/>
              <w:spacing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  <w:r w:rsidRPr="0D592E48" w:rsidR="5F17104A">
              <w:rPr>
                <w:rFonts w:ascii="Calibri" w:hAnsi="Calibri" w:eastAsia="Calibri" w:cs="Times New Roman"/>
                <w:sz w:val="22"/>
                <w:szCs w:val="22"/>
              </w:rPr>
              <w:t>K_K05</w:t>
            </w:r>
          </w:p>
        </w:tc>
      </w:tr>
    </w:tbl>
    <w:p w:rsidR="00CD36F8" w:rsidRDefault="00CD36F8" w14:paraId="3FB67719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CD36F8" w:rsidRDefault="00CD36F8" w14:paraId="5603D9EA" w14:textId="77777777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:rsidR="00CD36F8" w:rsidRDefault="00CD36F8" w14:paraId="6CCBCC0F" w14:textId="77777777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5409FC1E" w:rsidR="00CD36F8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14:paraId="097E73C4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452DCF81" w14:textId="77777777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14:paraId="51C6D6DA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532BC8E5" w14:textId="77777777">
            <w:pPr>
              <w:autoSpaceDE w:val="0"/>
              <w:spacing w:after="0"/>
            </w:pPr>
            <w:r>
              <w:rPr>
                <w:rFonts w:cs="Times-Roman"/>
              </w:rPr>
              <w:t>1.</w:t>
            </w:r>
            <w:r>
              <w:rPr>
                <w:rFonts w:eastAsia="Cambria"/>
                <w:i/>
              </w:rPr>
              <w:t xml:space="preserve"> Zakres przedmiotowy i zasady ogólne kodeksu postępowania administracyjnego</w:t>
            </w:r>
            <w:r>
              <w:rPr>
                <w:rFonts w:cs="Times-Roman"/>
              </w:rPr>
              <w:t xml:space="preserve"> </w:t>
            </w:r>
          </w:p>
        </w:tc>
      </w:tr>
      <w:tr w:rsidR="00CD36F8" w14:paraId="67BC3E94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542D44FB" w14:textId="77777777">
            <w:pPr>
              <w:spacing w:after="0"/>
            </w:pPr>
            <w:r>
              <w:t xml:space="preserve">2. </w:t>
            </w:r>
            <w:r>
              <w:rPr>
                <w:rFonts w:eastAsia="Cambria"/>
                <w:i/>
              </w:rPr>
              <w:t>Zakres podmiotowy kodeksu i pojęcie organu administracji</w:t>
            </w:r>
          </w:p>
        </w:tc>
      </w:tr>
      <w:tr w:rsidR="00CD36F8" w14:paraId="5999B80C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3BB99519" w14:textId="77777777">
            <w:pPr>
              <w:spacing w:after="0"/>
            </w:pPr>
            <w:r>
              <w:t xml:space="preserve">3. </w:t>
            </w:r>
            <w:r>
              <w:rPr>
                <w:rFonts w:eastAsia="Cambria"/>
                <w:i/>
              </w:rPr>
              <w:t>Podmioty postępowania administracyjnego</w:t>
            </w:r>
          </w:p>
        </w:tc>
      </w:tr>
      <w:tr w:rsidR="00CD36F8" w14:paraId="3BFE6BE8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793687A3" w14:textId="77777777">
            <w:pPr>
              <w:spacing w:after="0"/>
            </w:pPr>
            <w:r>
              <w:t xml:space="preserve">4. </w:t>
            </w:r>
            <w:r>
              <w:rPr>
                <w:rFonts w:eastAsia="Cambria"/>
                <w:i/>
              </w:rPr>
              <w:t>Przepisy dyscyplinujące przebieg postępowania</w:t>
            </w:r>
          </w:p>
        </w:tc>
      </w:tr>
      <w:tr w:rsidR="00CD36F8" w14:paraId="4E6E0425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2A7E6824" w14:textId="77777777">
            <w:pPr>
              <w:spacing w:after="0"/>
            </w:pPr>
            <w:r>
              <w:t xml:space="preserve">5. </w:t>
            </w:r>
            <w:r>
              <w:rPr>
                <w:rFonts w:eastAsia="Cambria"/>
                <w:i/>
              </w:rPr>
              <w:t>Postępowanie przed organem I instancji</w:t>
            </w:r>
          </w:p>
        </w:tc>
      </w:tr>
      <w:tr w:rsidR="00CD36F8" w14:paraId="757B2C6E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6DA1DBD3" w14:textId="77777777">
            <w:pPr>
              <w:spacing w:after="0"/>
            </w:pPr>
            <w:r>
              <w:t xml:space="preserve">6. </w:t>
            </w:r>
            <w:r>
              <w:rPr>
                <w:rFonts w:eastAsia="Cambria"/>
                <w:i/>
              </w:rPr>
              <w:t>Akty kończące postępowanie administracyjne</w:t>
            </w:r>
          </w:p>
        </w:tc>
      </w:tr>
      <w:tr w:rsidR="00CD36F8" w14:paraId="529160F9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11645EB1" w14:textId="77777777">
            <w:pPr>
              <w:spacing w:after="0"/>
            </w:pPr>
            <w:r>
              <w:t xml:space="preserve">7. </w:t>
            </w:r>
            <w:r>
              <w:rPr>
                <w:rFonts w:eastAsia="Cambria"/>
                <w:i/>
              </w:rPr>
              <w:t>Zwyczajne środki zaskarżenia</w:t>
            </w:r>
          </w:p>
        </w:tc>
      </w:tr>
      <w:tr w:rsidR="00CD36F8" w14:paraId="3A8E495F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2E4224E6" w14:textId="77777777">
            <w:pPr>
              <w:spacing w:after="0"/>
            </w:pPr>
            <w:r>
              <w:t xml:space="preserve">8. </w:t>
            </w:r>
            <w:r>
              <w:rPr>
                <w:rFonts w:eastAsia="Cambria"/>
                <w:i/>
              </w:rPr>
              <w:t>Postępowanie przed organem II ej instancji</w:t>
            </w:r>
          </w:p>
        </w:tc>
      </w:tr>
      <w:tr w:rsidR="00CD36F8" w14:paraId="74FA0710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7FA195BA" w14:textId="77777777">
            <w:pPr>
              <w:spacing w:after="0"/>
            </w:pPr>
            <w:r>
              <w:t xml:space="preserve">9. </w:t>
            </w:r>
            <w:r>
              <w:rPr>
                <w:rFonts w:eastAsia="Cambria"/>
                <w:i/>
              </w:rPr>
              <w:t>Weryfikacja ostatecznych aktów administracyjnych</w:t>
            </w:r>
          </w:p>
        </w:tc>
      </w:tr>
    </w:tbl>
    <w:p w:rsidR="00CD36F8" w:rsidRDefault="00CD36F8" w14:paraId="36EDF2D0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="00CD36F8" w:rsidRDefault="00CD36F8" w14:paraId="6188F518" w14:textId="77777777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5409FC1E" w:rsidR="00CD36F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14:paraId="596F3005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60D7FF6F" w14:textId="77777777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14:paraId="164F1841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199222D6" w14:textId="77777777">
            <w:pPr>
              <w:autoSpaceDE w:val="0"/>
              <w:spacing w:after="0"/>
            </w:pPr>
            <w:r>
              <w:rPr>
                <w:rFonts w:cs="Times-Roman"/>
              </w:rPr>
              <w:t>1.</w:t>
            </w:r>
            <w:r>
              <w:rPr>
                <w:rFonts w:eastAsia="Cambria"/>
                <w:i/>
              </w:rPr>
              <w:t xml:space="preserve"> Zakres przedmiotowy i zasady ogólne kodeksu postępowania administracyjnego</w:t>
            </w:r>
            <w:r>
              <w:rPr>
                <w:rFonts w:cs="Times-Roman"/>
              </w:rPr>
              <w:t xml:space="preserve"> </w:t>
            </w:r>
          </w:p>
        </w:tc>
      </w:tr>
      <w:tr w:rsidR="00CD36F8" w14:paraId="1733F004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7362250A" w14:textId="77777777">
            <w:pPr>
              <w:spacing w:after="0"/>
            </w:pPr>
            <w:r>
              <w:t xml:space="preserve">2. </w:t>
            </w:r>
            <w:r>
              <w:rPr>
                <w:rFonts w:eastAsia="Cambria"/>
                <w:i/>
              </w:rPr>
              <w:t>Zakres podmiotowy kodeksu i pojęcie organu administracji</w:t>
            </w:r>
          </w:p>
        </w:tc>
      </w:tr>
      <w:tr w:rsidR="00CD36F8" w14:paraId="070E161B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3E8B74D6" w14:textId="77777777">
            <w:pPr>
              <w:spacing w:after="0"/>
            </w:pPr>
            <w:r>
              <w:t xml:space="preserve">3. </w:t>
            </w:r>
            <w:r>
              <w:rPr>
                <w:rFonts w:eastAsia="Cambria"/>
                <w:i/>
              </w:rPr>
              <w:t>Podmioty postępowania administracyjnego</w:t>
            </w:r>
          </w:p>
        </w:tc>
      </w:tr>
      <w:tr w:rsidR="00CD36F8" w14:paraId="4478C65A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4272AD8D" w14:textId="77777777">
            <w:pPr>
              <w:spacing w:after="0"/>
            </w:pPr>
            <w:r>
              <w:t xml:space="preserve">4. </w:t>
            </w:r>
            <w:r>
              <w:rPr>
                <w:rFonts w:eastAsia="Cambria"/>
                <w:i/>
              </w:rPr>
              <w:t>Przepisy dyscyplinujące przebieg postępowania</w:t>
            </w:r>
          </w:p>
        </w:tc>
      </w:tr>
      <w:tr w:rsidR="00CD36F8" w14:paraId="00DD2B73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685E3326" w14:textId="77777777">
            <w:pPr>
              <w:spacing w:after="0"/>
            </w:pPr>
            <w:r>
              <w:t xml:space="preserve">5. </w:t>
            </w:r>
            <w:r>
              <w:rPr>
                <w:rFonts w:eastAsia="Cambria"/>
                <w:i/>
              </w:rPr>
              <w:t>Postępowanie przed organem I instancji</w:t>
            </w:r>
          </w:p>
        </w:tc>
      </w:tr>
      <w:tr w:rsidR="00CD36F8" w14:paraId="7151EB3C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3FD88ACF" w14:textId="77777777">
            <w:pPr>
              <w:spacing w:after="0"/>
            </w:pPr>
            <w:r>
              <w:t xml:space="preserve">6. </w:t>
            </w:r>
            <w:r>
              <w:rPr>
                <w:rFonts w:eastAsia="Cambria"/>
                <w:i/>
              </w:rPr>
              <w:t>Akty kończące postępowanie administracyjne</w:t>
            </w:r>
          </w:p>
        </w:tc>
      </w:tr>
      <w:tr w:rsidR="00CD36F8" w14:paraId="7A1F2DC1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6EBA3F66" w14:textId="77777777">
            <w:pPr>
              <w:spacing w:after="0"/>
            </w:pPr>
            <w:r>
              <w:t xml:space="preserve">7. </w:t>
            </w:r>
            <w:r>
              <w:rPr>
                <w:rFonts w:eastAsia="Cambria"/>
                <w:i/>
              </w:rPr>
              <w:t>Zwyczajne środki zaskarżenia</w:t>
            </w:r>
          </w:p>
        </w:tc>
      </w:tr>
      <w:tr w:rsidR="00CD36F8" w14:paraId="28BC2C74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192B2F24" w14:textId="77777777">
            <w:pPr>
              <w:spacing w:after="0"/>
            </w:pPr>
            <w:r>
              <w:t xml:space="preserve">8. </w:t>
            </w:r>
            <w:r>
              <w:rPr>
                <w:rFonts w:eastAsia="Cambria"/>
                <w:i/>
              </w:rPr>
              <w:t>Postępowanie przed organem II ej instancji</w:t>
            </w:r>
          </w:p>
        </w:tc>
      </w:tr>
      <w:tr w:rsidR="00CD36F8" w14:paraId="2DF98C0E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D36F8" w:rsidRDefault="00CD36F8" w14:paraId="560236B4" w14:textId="77777777">
            <w:pPr>
              <w:spacing w:after="0"/>
            </w:pPr>
            <w:r>
              <w:t xml:space="preserve">9. </w:t>
            </w:r>
            <w:r>
              <w:rPr>
                <w:rFonts w:eastAsia="Cambria"/>
                <w:i/>
              </w:rPr>
              <w:t>Weryfikacja ostatecznych aktów administracyjnych</w:t>
            </w:r>
          </w:p>
        </w:tc>
      </w:tr>
    </w:tbl>
    <w:p w:rsidR="00CD36F8" w:rsidRDefault="00CD36F8" w14:paraId="597EC7CE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CD36F8" w:rsidRDefault="00CD36F8" w14:paraId="6FC4180E" w14:textId="77777777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:rsidR="00CD36F8" w:rsidRDefault="00CD36F8" w14:paraId="50DBB258" w14:textId="77777777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:rsidR="00CD36F8" w:rsidRDefault="00CD36F8" w14:paraId="1755AB1E" w14:textId="77777777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  <w:r>
        <w:rPr>
          <w:rFonts w:ascii="Times New Roman" w:hAnsi="Times New Roman"/>
          <w:i/>
          <w:kern w:val="1"/>
          <w:szCs w:val="24"/>
        </w:rPr>
        <w:t xml:space="preserve">Wykład: wykład problemowy, wykład z prezentacją multimedialną </w:t>
      </w:r>
    </w:p>
    <w:p w:rsidR="00CD36F8" w:rsidRDefault="00CD36F8" w14:paraId="4C926CDF" w14:textId="77777777">
      <w:pPr>
        <w:suppressAutoHyphens w:val="0"/>
        <w:spacing w:after="0" w:line="240" w:lineRule="auto"/>
        <w:rPr>
          <w:rFonts w:ascii="Corbel" w:hAnsi="Corbel" w:cs="Corbel"/>
          <w:szCs w:val="24"/>
        </w:rPr>
      </w:pPr>
      <w:r>
        <w:rPr>
          <w:rFonts w:ascii="Times New Roman" w:hAnsi="Times New Roman"/>
          <w:i/>
          <w:kern w:val="1"/>
          <w:szCs w:val="24"/>
        </w:rPr>
        <w:t>Ćwiczenia: analiza i interpretacja tekstów źródłowych, sporządzanie projektów pism procesowych, praca w grupach, analiza przypadków, dyskusja, rozwiązywanie zadań</w:t>
      </w:r>
    </w:p>
    <w:p w:rsidR="00CD36F8" w:rsidRDefault="00CD36F8" w14:paraId="28679216" w14:textId="77777777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:rsidR="00CD36F8" w:rsidRDefault="00CD36F8" w14:paraId="7122CCE3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:rsidR="00CD36F8" w:rsidRDefault="00CD36F8" w14:paraId="5F1B1E7E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:rsidR="00CD36F8" w:rsidRDefault="00CD36F8" w14:paraId="2E6DB5B2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:rsidR="00CD36F8" w:rsidRDefault="00CD36F8" w14:paraId="41E0330C" w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:rsidR="00CD36F8" w:rsidRDefault="00CD36F8" w14:paraId="511334D7" w14:textId="7777777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Tr="0D592E48" w14:paraId="552F71FB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68DF0201" w14:textId="77777777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Symbol efektu</w:t>
            </w:r>
          </w:p>
          <w:p w:rsidR="00CD36F8" w:rsidRDefault="00CD36F8" w14:paraId="4E5CE1C4" w14:textId="77777777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5C4DEA47" w14:textId="1B4CE6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5409FC1E" w:rsidR="00CD36F8">
              <w:rPr>
                <w:rFonts w:ascii="Times New Roman" w:hAnsi="Times New Roman"/>
                <w:color w:val="000000" w:themeColor="text1" w:themeTint="FF" w:themeShade="FF"/>
              </w:rPr>
              <w:t xml:space="preserve">Metody oceny efektów </w:t>
            </w:r>
            <w:r w:rsidRPr="5409FC1E" w:rsidR="3638DFFD">
              <w:rPr>
                <w:rFonts w:ascii="Times New Roman" w:hAnsi="Times New Roman"/>
                <w:color w:val="000000" w:themeColor="text1" w:themeTint="FF" w:themeShade="FF"/>
              </w:rPr>
              <w:t xml:space="preserve">uczenia się </w:t>
            </w:r>
          </w:p>
          <w:p w:rsidR="00CD36F8" w:rsidRDefault="00CD36F8" w14:paraId="342189F9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39662E77" w14:textId="1504860B">
            <w:pPr>
              <w:spacing w:after="0" w:line="240" w:lineRule="auto"/>
            </w:pPr>
            <w:r w:rsidRPr="5409FC1E" w:rsidR="00CD36F8">
              <w:rPr>
                <w:rFonts w:ascii="Times New Roman" w:hAnsi="Times New Roman"/>
              </w:rPr>
              <w:t xml:space="preserve">Forma zajęć dydaktycznych </w:t>
            </w:r>
          </w:p>
          <w:p w:rsidR="00CD36F8" w:rsidRDefault="00CD36F8" w14:paraId="05B6E9AE" w14:textId="292F17F0">
            <w:pPr>
              <w:spacing w:after="0" w:line="240" w:lineRule="auto"/>
            </w:pPr>
            <w:r w:rsidRPr="5409FC1E" w:rsidR="00CD36F8">
              <w:rPr>
                <w:rFonts w:ascii="Times New Roman" w:hAnsi="Times New Roman"/>
              </w:rPr>
              <w:t xml:space="preserve">(w, </w:t>
            </w:r>
            <w:proofErr w:type="spellStart"/>
            <w:r w:rsidRPr="5409FC1E" w:rsidR="00CD36F8">
              <w:rPr>
                <w:rFonts w:ascii="Times New Roman" w:hAnsi="Times New Roman"/>
              </w:rPr>
              <w:t>ćw</w:t>
            </w:r>
            <w:proofErr w:type="spellEnd"/>
            <w:r w:rsidRPr="5409FC1E" w:rsidR="00CD36F8">
              <w:rPr>
                <w:rFonts w:ascii="Times New Roman" w:hAnsi="Times New Roman"/>
              </w:rPr>
              <w:t>, …)</w:t>
            </w:r>
          </w:p>
        </w:tc>
      </w:tr>
      <w:tr w:rsidR="00CD36F8" w:rsidTr="0D592E48" w14:paraId="3B25B462" w14:textId="77777777">
        <w:tc>
          <w:tcPr>
            <w:tcW w:w="18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5409FC1E" w:rsidP="5409FC1E" w:rsidRDefault="5409FC1E" w14:paraId="30BAA7F3" w14:textId="30941A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 w:rsidR="1E7FC52A">
              <w:rPr>
                <w:rFonts w:ascii="Corbel" w:hAnsi="Corbel"/>
                <w:sz w:val="24"/>
                <w:szCs w:val="24"/>
              </w:rPr>
              <w:t>EK_0</w:t>
            </w:r>
            <w:r w:rsidRPr="0D592E48" w:rsidR="1E7FC52A">
              <w:rPr>
                <w:rFonts w:ascii="Corbel" w:hAnsi="Corbel"/>
                <w:sz w:val="24"/>
                <w:szCs w:val="24"/>
              </w:rPr>
              <w:t>1</w:t>
            </w:r>
            <w:r w:rsidRPr="0D592E48" w:rsidR="46935418">
              <w:rPr>
                <w:rFonts w:ascii="Corbel" w:hAnsi="Corbel"/>
                <w:sz w:val="24"/>
                <w:szCs w:val="24"/>
              </w:rPr>
              <w:t xml:space="preserve"> – EK_014</w:t>
            </w:r>
          </w:p>
        </w:tc>
        <w:tc>
          <w:tcPr>
            <w:tcW w:w="45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31FBC8E1" w14:textId="68D2D57D">
            <w:pPr>
              <w:spacing w:after="0" w:line="240" w:lineRule="auto"/>
              <w:rPr>
                <w:rFonts w:ascii="Times New Roman" w:hAnsi="Times New Roman"/>
              </w:rPr>
            </w:pPr>
            <w:r w:rsidRPr="0D592E48" w:rsidR="00CD36F8">
              <w:rPr>
                <w:rFonts w:ascii="Times New Roman" w:hAnsi="Times New Roman"/>
              </w:rPr>
              <w:t>egzamin w formie pisemnej lub ustnej</w:t>
            </w:r>
            <w:r w:rsidRPr="0D592E48" w:rsidR="53DB1AE0">
              <w:rPr>
                <w:rFonts w:ascii="Times New Roman" w:hAnsi="Times New Roman"/>
              </w:rPr>
              <w:t>, dyskusja w trakcie zajęć, obserwacja</w:t>
            </w:r>
          </w:p>
        </w:tc>
        <w:tc>
          <w:tcPr>
            <w:tcW w:w="2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EF3EDB" w14:paraId="23562712" w14:textId="41E57E5D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w, </w:t>
            </w:r>
          </w:p>
        </w:tc>
      </w:tr>
    </w:tbl>
    <w:p w:rsidR="00CD36F8" w:rsidRDefault="00CD36F8" w14:paraId="332B4F3C" w14:textId="77777777">
      <w:pPr>
        <w:spacing w:after="0" w:line="240" w:lineRule="auto"/>
        <w:rPr>
          <w:rFonts w:ascii="Times New Roman" w:hAnsi="Times New Roman"/>
          <w:szCs w:val="24"/>
        </w:rPr>
      </w:pPr>
    </w:p>
    <w:p w:rsidR="00CD36F8" w:rsidRDefault="00CD36F8" w14:paraId="1F8B7296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:rsidR="00CD36F8" w:rsidRDefault="00CD36F8" w14:paraId="43B7AA66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Tr="0D592E48" w14:paraId="60EDFCCF" w14:textId="77777777">
        <w:tc>
          <w:tcPr>
            <w:tcW w:w="9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402CBDB4" w:rsidP="0D592E48" w:rsidRDefault="402CBDB4" w14:paraId="12A2A780" w14:textId="296C55A9">
            <w:pPr>
              <w:jc w:val="both"/>
            </w:pPr>
            <w:r w:rsidRPr="0D592E48" w:rsidR="402CBDB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Warunkiem zaliczenia przedmiotu jest uczestnictwo w zajęciach oraz uzyskanie pozytywnej oceny z końcowego egzaminu pisemnego. </w:t>
            </w:r>
            <w:r w:rsidRPr="0D592E48" w:rsidR="402CBDB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Egzamin ma formę pisemną lub ustną i polega na odpowiedzi na zadane pytana</w:t>
            </w:r>
            <w:r w:rsidRPr="0D592E48" w:rsidR="402CBDB4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(5 pytań). Zawierać może pytania testowe lub otwarte. Uzyskanie oceny pozytywnej wymaga udzielenia poprawnych odpowiedzi na ponad 50% pytań. Egzamin trwa łącznie 1 godzinę zegarową. W wypadku egzaminu ustnego – 3 pytania zadawane przez egzaminatora.</w:t>
            </w:r>
            <w:r w:rsidRPr="0D592E48" w:rsidR="402CBDB4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0D592E48" w:rsidR="402CBDB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 </w:t>
            </w:r>
            <w:r w:rsidRPr="0D592E48" w:rsidR="402CBDB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="402CBDB4" w:rsidP="0D592E48" w:rsidRDefault="402CBDB4" w14:paraId="79C5F88A" w14:textId="24BBA7CD">
            <w:pPr>
              <w:jc w:val="both"/>
            </w:pPr>
            <w:r w:rsidRPr="0D592E48" w:rsidR="402CBDB4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Kryteria oceny: kompletność odpowiedzi, poprawna terminologia, aktualny stan prawny. </w:t>
            </w:r>
          </w:p>
          <w:p w:rsidR="00CD36F8" w:rsidRDefault="00CD36F8" w14:paraId="243A056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:rsidR="00CD36F8" w:rsidRDefault="00CD36F8" w14:paraId="25087A7A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CD36F8" w:rsidRDefault="00CD36F8" w14:paraId="514F55AA" w14:textId="77777777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D36F8" w:rsidRDefault="00CD36F8" w14:paraId="6B962F33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:rsidTr="5409FC1E" w14:paraId="61DDFBCE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7B9DAC90" w14:textId="77777777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D36F8" w:rsidRDefault="00CD36F8" w14:paraId="6AF20606" w14:textId="77777777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Tr="5409FC1E" w14:paraId="534EBFF4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C11EFC5" w14:textId="77777777">
            <w:pPr>
              <w:pStyle w:val="Akapitzlist1"/>
              <w:spacing w:after="0" w:line="100" w:lineRule="atLeast"/>
              <w:ind w:left="0"/>
              <w:rPr>
                <w:smallCaps/>
                <w:kern w:val="1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77281B8D" w14:textId="04DBBD88">
            <w:pPr>
              <w:suppressAutoHyphens w:val="0"/>
              <w:spacing w:after="0" w:line="240" w:lineRule="auto"/>
              <w:rPr>
                <w:smallCaps/>
                <w:kern w:val="1"/>
              </w:rPr>
            </w:pPr>
            <w:r>
              <w:rPr>
                <w:smallCaps/>
                <w:kern w:val="1"/>
              </w:rPr>
              <w:t xml:space="preserve">Wykład – </w:t>
            </w:r>
            <w:r w:rsidR="00640711">
              <w:rPr>
                <w:smallCaps/>
                <w:kern w:val="1"/>
              </w:rPr>
              <w:t>30</w:t>
            </w:r>
            <w:r>
              <w:rPr>
                <w:smallCaps/>
                <w:kern w:val="1"/>
              </w:rPr>
              <w:t xml:space="preserve"> godz.</w:t>
            </w:r>
          </w:p>
          <w:p w:rsidR="00CD36F8" w:rsidRDefault="00CD36F8" w14:paraId="58B5D8E5" w14:textId="15C232AF">
            <w:pPr>
              <w:suppressAutoHyphens w:val="0"/>
              <w:spacing w:after="0" w:line="240" w:lineRule="auto"/>
            </w:pPr>
          </w:p>
        </w:tc>
      </w:tr>
      <w:tr w:rsidR="00CD36F8" w:rsidTr="5409FC1E" w14:paraId="6AA45CA9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0F26C9A9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="00CD36F8" w:rsidRDefault="00CD36F8" w14:paraId="5E131FF3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EBD9907" w14:textId="77777777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Tr="5409FC1E" w14:paraId="0DE88A6C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3E83A54C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:rsidR="00CD36F8" w:rsidRDefault="00CD36F8" w14:paraId="5B692FA5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725972" w14:paraId="6D55C161" w14:textId="513D095A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38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Tr="5409FC1E" w14:paraId="75AD01DC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2D12FF2B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5409FC1E" w:rsidRDefault="00EF3EDB" w14:paraId="4CD3D55C" w14:textId="16878AC3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mallCaps w:val="1"/>
                <w:sz w:val="24"/>
                <w:szCs w:val="24"/>
              </w:rPr>
            </w:pPr>
            <w:r w:rsidR="00EF3EDB">
              <w:rPr>
                <w:rFonts w:ascii="Corbel" w:hAnsi="Corbel" w:cs="Corbel"/>
                <w:sz w:val="24"/>
                <w:szCs w:val="24"/>
              </w:rPr>
              <w:t>70</w:t>
            </w:r>
            <w:r w:rsidR="0A438BD6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:rsidTr="5409FC1E" w14:paraId="0B97622A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092D5427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RDefault="00517C2E" w14:paraId="2B022021" w14:textId="06A074AA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CD36F8" w:rsidRDefault="00CD36F8" w14:paraId="499DA65F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D36F8" w:rsidRDefault="00CD36F8" w14:paraId="40045E6F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CD36F8" w:rsidP="5409FC1E" w:rsidRDefault="00CD36F8" w14:paraId="02A78C97" w14:textId="0678891E">
      <w:pPr>
        <w:pStyle w:val="Punktygwne"/>
        <w:spacing w:before="0" w:after="0"/>
        <w:rPr>
          <w:rFonts w:ascii="Corbel" w:hAnsi="Corbel" w:cs="Corbel"/>
          <w:caps w:val="0"/>
          <w:smallCaps w:val="0"/>
        </w:rPr>
      </w:pPr>
      <w:r w:rsidRPr="5409FC1E" w:rsidR="00CD36F8">
        <w:rPr>
          <w:rFonts w:ascii="Corbel" w:hAnsi="Corbel" w:cs="Corbel"/>
          <w:caps w:val="0"/>
          <w:smallCaps w:val="0"/>
        </w:rPr>
        <w:t>6. PRAKTYKI ZAWODOWE W RAMACH PRZEDMIOTU</w:t>
      </w:r>
    </w:p>
    <w:p w:rsidR="00CD36F8" w:rsidRDefault="00CD36F8" w14:paraId="70C91C2C" w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:rsidTr="5409FC1E" w14:paraId="162EC717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6E4AC15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5409FC1E" w:rsidRDefault="00CD36F8" w14:paraId="44E81307" w14:textId="0A394260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409FC1E" w:rsidR="61961E79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="00CD36F8" w:rsidTr="5409FC1E" w14:paraId="20477D7C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="00CD36F8" w:rsidRDefault="00CD36F8" w14:paraId="1B988524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5409FC1E" w:rsidRDefault="00CD36F8" w14:paraId="45386A01" w14:textId="5B96B67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</w:pPr>
            <w:r w:rsidRPr="5409FC1E" w:rsidR="670205A4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 xml:space="preserve">Nie </w:t>
            </w:r>
            <w:r w:rsidRPr="5409FC1E" w:rsidR="670205A4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dot</w:t>
            </w:r>
            <w:r w:rsidRPr="5409FC1E" w:rsidR="2AF1193D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y</w:t>
            </w:r>
            <w:r w:rsidRPr="5409FC1E" w:rsidR="670205A4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czy</w:t>
            </w:r>
          </w:p>
        </w:tc>
      </w:tr>
    </w:tbl>
    <w:p w:rsidR="00CD36F8" w:rsidRDefault="00CD36F8" w14:paraId="71A5BEB5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CD36F8" w:rsidRDefault="00CD36F8" w14:paraId="7E921C96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:rsidR="00CD36F8" w:rsidRDefault="00CD36F8" w14:paraId="465FA9FE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:rsidTr="5409FC1E" w14:paraId="2C60BFE4" w14:textId="77777777">
        <w:trPr>
          <w:trHeight w:val="397"/>
        </w:trPr>
        <w:tc>
          <w:tcPr>
            <w:tcW w:w="75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5409FC1E" w:rsidRDefault="00CD36F8" w14:paraId="5F0946B8" w14:textId="3BA770BB">
            <w:pPr>
              <w:pStyle w:val="Punktygwne"/>
              <w:spacing w:before="0" w:after="0"/>
              <w:rPr>
                <w:rFonts w:ascii="Corbel" w:hAnsi="Corbel" w:cs="Corbel"/>
                <w:b w:val="1"/>
                <w:bCs w:val="1"/>
                <w:caps w:val="0"/>
                <w:smallCaps w:val="0"/>
                <w:kern w:val="1"/>
              </w:rPr>
            </w:pPr>
            <w:r w:rsidRPr="5409FC1E" w:rsidR="00CD36F8">
              <w:rPr>
                <w:rFonts w:ascii="Corbel" w:hAnsi="Corbel" w:cs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5409FC1E" w:rsidP="5409FC1E" w:rsidRDefault="5409FC1E" w14:paraId="1BF86B84" w14:textId="1F509F47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CD36F8" w:rsidRDefault="00CD36F8" w14:paraId="01EAEBB2" w14:textId="75A29C92">
            <w:pPr>
              <w:suppressAutoHyphens w:val="0"/>
              <w:spacing w:after="0" w:line="240" w:lineRule="auto"/>
              <w:jc w:val="both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</w:t>
            </w:r>
            <w:r w:rsidR="00517C2E">
              <w:rPr>
                <w:rFonts w:ascii="Corbel" w:hAnsi="Corbel" w:cs="Corbel"/>
                <w:i/>
                <w:smallCaps/>
                <w:kern w:val="1"/>
                <w:szCs w:val="24"/>
              </w:rPr>
              <w:t>21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.</w:t>
            </w:r>
          </w:p>
        </w:tc>
      </w:tr>
      <w:tr w:rsidR="00CD36F8" w:rsidTr="5409FC1E" w14:paraId="701AF4DD" w14:textId="77777777">
        <w:trPr>
          <w:trHeight w:val="397"/>
        </w:trPr>
        <w:tc>
          <w:tcPr>
            <w:tcW w:w="75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D36F8" w:rsidP="5409FC1E" w:rsidRDefault="00CD36F8" w14:paraId="16AE5876" w14:textId="77777777" w14:noSpellErr="1">
            <w:pPr>
              <w:pStyle w:val="Punktygwne"/>
              <w:spacing w:before="0" w:after="0"/>
              <w:rPr>
                <w:rFonts w:eastAsia="Cambria"/>
                <w:b w:val="1"/>
                <w:bCs w:val="1"/>
                <w:i w:val="1"/>
                <w:iCs w:val="1"/>
                <w:kern w:val="1"/>
              </w:rPr>
            </w:pPr>
            <w:r w:rsidRPr="5409FC1E" w:rsidR="00CD36F8">
              <w:rPr>
                <w:rFonts w:ascii="Corbel" w:hAnsi="Corbel" w:cs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5409FC1E" w:rsidP="5409FC1E" w:rsidRDefault="5409FC1E" w14:paraId="338E6D86" w14:textId="7564DBB6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CD36F8" w:rsidRDefault="00CD36F8" w14:paraId="39846E0D" w14:textId="5E64DADF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kern w:val="1"/>
              </w:rPr>
            </w:pPr>
            <w:r>
              <w:rPr>
                <w:rFonts w:eastAsia="Cambria"/>
                <w:i/>
                <w:kern w:val="1"/>
              </w:rPr>
              <w:t>M. Wierzbowski</w:t>
            </w:r>
            <w:r w:rsidR="00517C2E">
              <w:rPr>
                <w:rFonts w:eastAsia="Cambria"/>
                <w:i/>
                <w:kern w:val="1"/>
              </w:rPr>
              <w:t xml:space="preserve"> (red.), </w:t>
            </w:r>
            <w:r>
              <w:rPr>
                <w:rFonts w:eastAsia="Cambria"/>
                <w:i/>
                <w:kern w:val="1"/>
              </w:rPr>
              <w:t>Postępowanie administracyjne</w:t>
            </w:r>
            <w:r w:rsidR="00517C2E">
              <w:rPr>
                <w:rFonts w:eastAsia="Cambria"/>
                <w:i/>
                <w:kern w:val="1"/>
              </w:rPr>
              <w:t xml:space="preserve"> i </w:t>
            </w:r>
            <w:proofErr w:type="spellStart"/>
            <w:r w:rsidR="00517C2E">
              <w:rPr>
                <w:rFonts w:eastAsia="Cambria"/>
                <w:i/>
                <w:kern w:val="1"/>
              </w:rPr>
              <w:t>sądowoadministracyjne</w:t>
            </w:r>
            <w:proofErr w:type="spellEnd"/>
            <w:r>
              <w:rPr>
                <w:rFonts w:eastAsia="Cambria"/>
                <w:i/>
                <w:kern w:val="1"/>
              </w:rPr>
              <w:t>, Warszawa 20</w:t>
            </w:r>
            <w:r w:rsidR="00517C2E">
              <w:rPr>
                <w:rFonts w:eastAsia="Cambria"/>
                <w:i/>
                <w:kern w:val="1"/>
              </w:rPr>
              <w:t>20</w:t>
            </w:r>
            <w:r>
              <w:rPr>
                <w:rFonts w:eastAsia="Cambria"/>
                <w:i/>
                <w:kern w:val="1"/>
              </w:rPr>
              <w:t xml:space="preserve"> r.;</w:t>
            </w:r>
          </w:p>
          <w:p w:rsidR="00CD36F8" w:rsidRDefault="00CD36F8" w14:paraId="287EB1A1" w14:textId="77777777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  <w:r>
              <w:rPr>
                <w:rFonts w:eastAsia="Cambria"/>
                <w:i/>
                <w:kern w:val="1"/>
              </w:rPr>
              <w:t xml:space="preserve">W. </w:t>
            </w:r>
            <w:r>
              <w:rPr>
                <w:rFonts w:eastAsia="Cambria"/>
                <w:i/>
                <w:spacing w:val="-4"/>
                <w:kern w:val="1"/>
              </w:rPr>
              <w:t xml:space="preserve">Chróścielewski, J.P. </w:t>
            </w:r>
            <w:proofErr w:type="spellStart"/>
            <w:r>
              <w:rPr>
                <w:rFonts w:eastAsia="Cambria"/>
                <w:i/>
                <w:spacing w:val="-4"/>
                <w:kern w:val="1"/>
              </w:rPr>
              <w:t>Tarno</w:t>
            </w:r>
            <w:proofErr w:type="spellEnd"/>
            <w:r>
              <w:rPr>
                <w:rFonts w:eastAsia="Cambria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:rsidR="00CD36F8" w:rsidRDefault="00CD36F8" w14:paraId="1F713D37" w14:textId="77777777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  <w:r>
              <w:rPr>
                <w:rFonts w:eastAsia="Cambria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:rsidR="00CD36F8" w:rsidRDefault="00CD36F8" w14:paraId="564624A5" w14:textId="77777777">
            <w:pPr>
              <w:suppressAutoHyphens w:val="0"/>
              <w:spacing w:after="0" w:line="240" w:lineRule="auto"/>
              <w:jc w:val="both"/>
              <w:rPr>
                <w:rFonts w:eastAsia="Cambria" w:cs="Calibri"/>
                <w:i/>
                <w:smallCaps/>
                <w:kern w:val="1"/>
                <w:szCs w:val="24"/>
              </w:rPr>
            </w:pPr>
            <w:r>
              <w:rPr>
                <w:rFonts w:eastAsia="Cambria"/>
                <w:i/>
                <w:spacing w:val="-4"/>
                <w:kern w:val="1"/>
              </w:rPr>
              <w:t xml:space="preserve"> J. </w:t>
            </w:r>
            <w:r>
              <w:rPr>
                <w:rFonts w:eastAsia="Cambria"/>
                <w:i/>
                <w:kern w:val="1"/>
              </w:rPr>
              <w:t>Borkowski: Decyzja administracyjna, Zielona Góra 1999 r.;</w:t>
            </w:r>
          </w:p>
          <w:p w:rsidR="00CD36F8" w:rsidRDefault="00CD36F8" w14:paraId="5BF8BA96" w14:textId="77777777">
            <w:pPr>
              <w:suppressAutoHyphens w:val="0"/>
              <w:spacing w:after="0" w:line="240" w:lineRule="auto"/>
              <w:jc w:val="both"/>
            </w:pPr>
            <w:r w:rsidRPr="5409FC1E" w:rsidR="00CD36F8">
              <w:rPr>
                <w:rFonts w:eastAsia="Cambria" w:cs="Calibri"/>
                <w:i w:val="1"/>
                <w:iCs w:val="1"/>
                <w:smallCaps w:val="1"/>
                <w:kern w:val="1"/>
              </w:rPr>
              <w:t xml:space="preserve">R. Kędziora: Komentarz do kodeksu postępowania administracyjnego, Warszawa 2005 r</w:t>
            </w:r>
          </w:p>
        </w:tc>
      </w:tr>
    </w:tbl>
    <w:p w:rsidR="00CD36F8" w:rsidRDefault="00CD36F8" w14:paraId="5530C376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CD36F8" w:rsidRDefault="00CD36F8" w14:paraId="4AC76567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CD36F8" w:rsidRDefault="00CD36F8" w14:paraId="5E89EA98" w14:textId="77777777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>
      <w:pgSz w:w="11906" w:h="16838" w:orient="portrait"/>
      <w:pgMar w:top="1134" w:right="1134" w:bottom="1134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333E1"/>
    <w:rsid w:val="000567AE"/>
    <w:rsid w:val="00096FD0"/>
    <w:rsid w:val="002A4751"/>
    <w:rsid w:val="002D57EA"/>
    <w:rsid w:val="00385F8D"/>
    <w:rsid w:val="004528C0"/>
    <w:rsid w:val="00500561"/>
    <w:rsid w:val="00517C2E"/>
    <w:rsid w:val="005F65F5"/>
    <w:rsid w:val="00640711"/>
    <w:rsid w:val="006617AA"/>
    <w:rsid w:val="007053B6"/>
    <w:rsid w:val="00725972"/>
    <w:rsid w:val="007444C0"/>
    <w:rsid w:val="008A2005"/>
    <w:rsid w:val="009E4741"/>
    <w:rsid w:val="00CB3B19"/>
    <w:rsid w:val="00CD36F8"/>
    <w:rsid w:val="00D00A74"/>
    <w:rsid w:val="00D3387A"/>
    <w:rsid w:val="00EF3EDB"/>
    <w:rsid w:val="00F44CA3"/>
    <w:rsid w:val="00F8438F"/>
    <w:rsid w:val="00F86F88"/>
    <w:rsid w:val="029F5C45"/>
    <w:rsid w:val="0328A653"/>
    <w:rsid w:val="042CC476"/>
    <w:rsid w:val="04D7209C"/>
    <w:rsid w:val="05D6FD07"/>
    <w:rsid w:val="064B2B9E"/>
    <w:rsid w:val="0A438BD6"/>
    <w:rsid w:val="0A7732E2"/>
    <w:rsid w:val="0A82DD9D"/>
    <w:rsid w:val="0B5B7F3F"/>
    <w:rsid w:val="0D592E48"/>
    <w:rsid w:val="0EA6051D"/>
    <w:rsid w:val="0F530F6E"/>
    <w:rsid w:val="0FA67A83"/>
    <w:rsid w:val="11AB727E"/>
    <w:rsid w:val="11F44A44"/>
    <w:rsid w:val="122BD522"/>
    <w:rsid w:val="12AFC969"/>
    <w:rsid w:val="13901AA5"/>
    <w:rsid w:val="14593DF6"/>
    <w:rsid w:val="156375E4"/>
    <w:rsid w:val="157A95E8"/>
    <w:rsid w:val="166FDDFF"/>
    <w:rsid w:val="17639832"/>
    <w:rsid w:val="18374C20"/>
    <w:rsid w:val="193BB35D"/>
    <w:rsid w:val="1B8CC45A"/>
    <w:rsid w:val="1DC66452"/>
    <w:rsid w:val="1E7FC52A"/>
    <w:rsid w:val="1E8E2313"/>
    <w:rsid w:val="206E9DAD"/>
    <w:rsid w:val="20D897C6"/>
    <w:rsid w:val="2257F518"/>
    <w:rsid w:val="226E5EF6"/>
    <w:rsid w:val="22B0945F"/>
    <w:rsid w:val="23D835F2"/>
    <w:rsid w:val="2655F9CB"/>
    <w:rsid w:val="28172F42"/>
    <w:rsid w:val="2A1D6D79"/>
    <w:rsid w:val="2AF1193D"/>
    <w:rsid w:val="2B671245"/>
    <w:rsid w:val="2E1D47E2"/>
    <w:rsid w:val="2F3AC0CA"/>
    <w:rsid w:val="31E30449"/>
    <w:rsid w:val="32945C5F"/>
    <w:rsid w:val="331A1433"/>
    <w:rsid w:val="33E2B240"/>
    <w:rsid w:val="34C6C4D7"/>
    <w:rsid w:val="3638DFFD"/>
    <w:rsid w:val="36D45FF4"/>
    <w:rsid w:val="3ADC3B90"/>
    <w:rsid w:val="3EDF71D9"/>
    <w:rsid w:val="402CBDB4"/>
    <w:rsid w:val="44A07F7E"/>
    <w:rsid w:val="4577F72A"/>
    <w:rsid w:val="462DD727"/>
    <w:rsid w:val="46935418"/>
    <w:rsid w:val="47ECAEE1"/>
    <w:rsid w:val="48D8844E"/>
    <w:rsid w:val="4FA1E6FF"/>
    <w:rsid w:val="50E09AE6"/>
    <w:rsid w:val="51810AE6"/>
    <w:rsid w:val="530EC115"/>
    <w:rsid w:val="53B87C1A"/>
    <w:rsid w:val="53DB1AE0"/>
    <w:rsid w:val="5409FC1E"/>
    <w:rsid w:val="545CBCF5"/>
    <w:rsid w:val="55A5CC7F"/>
    <w:rsid w:val="59102F46"/>
    <w:rsid w:val="5A96CE2B"/>
    <w:rsid w:val="5C45D70E"/>
    <w:rsid w:val="5D94AD81"/>
    <w:rsid w:val="5DB0DE64"/>
    <w:rsid w:val="5F17104A"/>
    <w:rsid w:val="6079326D"/>
    <w:rsid w:val="613FBB2E"/>
    <w:rsid w:val="61961E79"/>
    <w:rsid w:val="61D02633"/>
    <w:rsid w:val="6400AA5F"/>
    <w:rsid w:val="64201FE8"/>
    <w:rsid w:val="64D570AB"/>
    <w:rsid w:val="6593E73F"/>
    <w:rsid w:val="66512AEB"/>
    <w:rsid w:val="670205A4"/>
    <w:rsid w:val="67FED647"/>
    <w:rsid w:val="6894CA88"/>
    <w:rsid w:val="6946BA75"/>
    <w:rsid w:val="6A9C85E6"/>
    <w:rsid w:val="6AF1A09D"/>
    <w:rsid w:val="6C03A140"/>
    <w:rsid w:val="6C331F53"/>
    <w:rsid w:val="7199D83F"/>
    <w:rsid w:val="75AD2635"/>
    <w:rsid w:val="78CE7A87"/>
    <w:rsid w:val="798F81E1"/>
    <w:rsid w:val="7EFE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/>
      <w:sz w:val="22"/>
      <w:szCs w:val="22"/>
      <w:lang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Domylnaczcionkaakapitu1" w:customStyle="1">
    <w:name w:val="Domyślna czcionka akapitu1"/>
  </w:style>
  <w:style w:type="character" w:styleId="TytuZnak" w:customStyle="1">
    <w:name w:val="Tytuł Znak"/>
    <w:rPr>
      <w:rFonts w:eastAsia="Times New Roman"/>
      <w:b/>
      <w:bCs/>
    </w:rPr>
  </w:style>
  <w:style w:type="character" w:styleId="TekstdymkaZnak" w:customStyle="1">
    <w:name w:val="Tekst dymka Znak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rPr>
      <w:rFonts w:ascii="Calibri" w:hAnsi="Calibri" w:eastAsia="Calibri" w:cs="Calibri"/>
      <w:sz w:val="22"/>
      <w:szCs w:val="22"/>
    </w:rPr>
  </w:style>
  <w:style w:type="character" w:styleId="StopkaZnak" w:customStyle="1">
    <w:name w:val="Stopka Znak"/>
    <w:rPr>
      <w:rFonts w:ascii="Calibri" w:hAnsi="Calibri" w:eastAsia="Calibri" w:cs="Calibri"/>
      <w:sz w:val="22"/>
      <w:szCs w:val="22"/>
    </w:rPr>
  </w:style>
  <w:style w:type="character" w:styleId="TekstprzypisudolnegoZnak" w:customStyle="1">
    <w:name w:val="Tekst przypisu dolnego Znak"/>
    <w:rPr>
      <w:rFonts w:ascii="Calibri" w:hAnsi="Calibri" w:cs="Times New Roman"/>
      <w:sz w:val="20"/>
      <w:szCs w:val="20"/>
    </w:rPr>
  </w:style>
  <w:style w:type="character" w:styleId="Odwoanieprzypisudolnego1" w:customStyle="1">
    <w:name w:val="Odwołanie przypisu dolnego1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Calibri"/>
      <w:sz w:val="22"/>
      <w:szCs w:val="22"/>
    </w:rPr>
  </w:style>
  <w:style w:type="character" w:styleId="Numerstrony1" w:customStyle="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Znakiprzypiswdolnych" w:customStyle="1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Znakinumeracji" w:customStyle="1">
    <w:name w:val="Znaki numeracji"/>
  </w:style>
  <w:style w:type="character" w:styleId="Znakiprzypiswkocowych" w:customStyle="1">
    <w:name w:val="Znaki przypisów końcowych"/>
    <w:rPr>
      <w:vertAlign w:val="superscript"/>
    </w:rPr>
  </w:style>
  <w:style w:type="character" w:styleId="WW-Znakiprzypiswkocowych" w:customStyle="1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Akapitzlist1" w:customStyle="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hAnsi="Times New Roman" w:eastAsia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1" w:customStyle="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Default" w:customStyle="1">
    <w:name w:val="Default"/>
    <w:pPr>
      <w:suppressAutoHyphens/>
    </w:pPr>
    <w:rPr>
      <w:rFonts w:ascii="Arial" w:hAnsi="Arial" w:eastAsia="Calibri" w:cs="Arial"/>
      <w:color w:val="000000"/>
      <w:sz w:val="24"/>
      <w:szCs w:val="24"/>
      <w:lang w:eastAsia="ar-SA"/>
    </w:rPr>
  </w:style>
  <w:style w:type="paragraph" w:styleId="Tekstprzypisudolnego1" w:customStyle="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styleId="Punktygwne" w:customStyle="1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hAnsi="Times New Roman" w:eastAsia="Times New Roman"/>
      <w:sz w:val="20"/>
      <w:szCs w:val="20"/>
    </w:rPr>
  </w:style>
  <w:style w:type="paragraph" w:styleId="Bezodstpw1" w:customStyle="1">
    <w:name w:val="Bez odstępów1"/>
    <w:pPr>
      <w:suppressAutoHyphens/>
    </w:pPr>
    <w:rPr>
      <w:rFonts w:ascii="Calibri" w:hAnsi="Calibri" w:eastAsia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Świrgoń-Skok Renata</lastModifiedBy>
  <revision>9</revision>
  <lastPrinted>2019-02-06T11:12:00.0000000Z</lastPrinted>
  <dcterms:created xsi:type="dcterms:W3CDTF">2021-12-13T13:56:00.0000000Z</dcterms:created>
  <dcterms:modified xsi:type="dcterms:W3CDTF">2022-01-21T10:55:49.3919340Z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