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1228A40D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1EF4">
        <w:rPr>
          <w:rFonts w:ascii="Corbel" w:hAnsi="Corbel"/>
          <w:smallCaps/>
          <w:sz w:val="24"/>
          <w:szCs w:val="24"/>
        </w:rPr>
        <w:t>2022-2025</w:t>
      </w:r>
    </w:p>
    <w:p w14:paraId="10CA8AEC" w14:textId="48171D79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391EF4">
        <w:rPr>
          <w:rFonts w:ascii="Corbel" w:hAnsi="Corbel"/>
          <w:sz w:val="20"/>
          <w:szCs w:val="20"/>
        </w:rPr>
        <w:t>2</w:t>
      </w:r>
      <w:r w:rsidR="00A65A73">
        <w:rPr>
          <w:rFonts w:ascii="Corbel" w:hAnsi="Corbel"/>
          <w:sz w:val="20"/>
          <w:szCs w:val="20"/>
        </w:rPr>
        <w:t>/202</w:t>
      </w:r>
      <w:r w:rsidR="00391EF4">
        <w:rPr>
          <w:rFonts w:ascii="Corbel" w:hAnsi="Corbel"/>
          <w:sz w:val="20"/>
          <w:szCs w:val="20"/>
        </w:rPr>
        <w:t>3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04BDCF55" w:rsidR="0085747A" w:rsidRPr="006B7BDF" w:rsidRDefault="006B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BD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67093ABB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6203DC10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FD4FB3" w14:textId="34448206" w:rsidR="0064727B" w:rsidRDefault="0064727B" w:rsidP="006472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bookmarkStart w:id="1" w:name="_GoBack"/>
      <w:r>
        <w:rPr>
          <w:rFonts w:ascii="Corbel" w:hAnsi="Corbel"/>
          <w:b w:val="0"/>
          <w:szCs w:val="24"/>
        </w:rPr>
        <w:t>Wykład –</w:t>
      </w:r>
      <w:r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Ćwiczenia – zaliczenie z oceną</w:t>
      </w:r>
    </w:p>
    <w:bookmarkEnd w:id="1"/>
    <w:p w14:paraId="3EE736CF" w14:textId="433CE45E" w:rsidR="0064727B" w:rsidRDefault="0064727B" w:rsidP="0064727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</w:p>
    <w:p w14:paraId="472E6E91" w14:textId="77777777" w:rsidR="0064727B" w:rsidRDefault="0064727B" w:rsidP="006472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</w:t>
            </w:r>
            <w:r w:rsidR="73C8DD8D" w:rsidRPr="6D4ACCD0">
              <w:rPr>
                <w:rFonts w:ascii="Corbel" w:hAnsi="Corbel"/>
              </w:rPr>
              <w:lastRenderedPageBreak/>
              <w:t>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lastRenderedPageBreak/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7861F08C" w:rsidR="0085747A" w:rsidRPr="009C54AE" w:rsidRDefault="006B7BDF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65994CB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309ECC37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7E577" w14:textId="77777777" w:rsidR="00B95BC7" w:rsidRDefault="00B95BC7" w:rsidP="00C16ABF">
      <w:pPr>
        <w:spacing w:after="0" w:line="240" w:lineRule="auto"/>
      </w:pPr>
      <w:r>
        <w:separator/>
      </w:r>
    </w:p>
  </w:endnote>
  <w:endnote w:type="continuationSeparator" w:id="0">
    <w:p w14:paraId="12BBFA21" w14:textId="77777777" w:rsidR="00B95BC7" w:rsidRDefault="00B95B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22D64" w14:textId="77777777" w:rsidR="00B95BC7" w:rsidRDefault="00B95BC7" w:rsidP="00C16ABF">
      <w:pPr>
        <w:spacing w:after="0" w:line="240" w:lineRule="auto"/>
      </w:pPr>
      <w:r>
        <w:separator/>
      </w:r>
    </w:p>
  </w:footnote>
  <w:footnote w:type="continuationSeparator" w:id="0">
    <w:p w14:paraId="178F5111" w14:textId="77777777" w:rsidR="00B95BC7" w:rsidRDefault="00B95BC7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5518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1C09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91EF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27B"/>
    <w:rsid w:val="00647FA8"/>
    <w:rsid w:val="00650C5F"/>
    <w:rsid w:val="00654934"/>
    <w:rsid w:val="006620D9"/>
    <w:rsid w:val="00671958"/>
    <w:rsid w:val="00675843"/>
    <w:rsid w:val="00696477"/>
    <w:rsid w:val="006A0C71"/>
    <w:rsid w:val="006B7BDF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95BC7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4550F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3589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DE96BE-D695-4331-A954-E539CCF6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140238-ABB4-42BD-8FAC-1082A88A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1289</Words>
  <Characters>7739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2020-11-14T20:11:00Z</dcterms:created>
  <dcterms:modified xsi:type="dcterms:W3CDTF">2024-01-24T09:53:00Z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