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F0EB2" w14:textId="562ECAD0" w:rsidR="006760A6" w:rsidRDefault="000A2D77" w:rsidP="006760A6">
      <w:pPr>
        <w:spacing w:after="0" w:line="240" w:lineRule="auto"/>
        <w:jc w:val="right"/>
        <w:rPr>
          <w:rFonts w:ascii="Corbel" w:hAnsi="Corbel"/>
          <w:bCs/>
          <w:i/>
          <w:sz w:val="16"/>
          <w:szCs w:val="16"/>
        </w:rPr>
      </w:pPr>
      <w:r w:rsidRPr="000A2D77">
        <w:rPr>
          <w:rFonts w:ascii="Corbel" w:hAnsi="Corbel"/>
          <w:bCs/>
          <w:i/>
          <w:sz w:val="16"/>
          <w:szCs w:val="16"/>
        </w:rPr>
        <w:t>Załącznik nr 1.5 do Zarządzenia Rektora UR  nr 7/2023</w:t>
      </w:r>
    </w:p>
    <w:p w14:paraId="5C276394" w14:textId="6E2412AF" w:rsidR="000A2D77" w:rsidRDefault="000A2D77" w:rsidP="006760A6">
      <w:pPr>
        <w:spacing w:after="0" w:line="240" w:lineRule="auto"/>
        <w:jc w:val="right"/>
        <w:rPr>
          <w:rFonts w:ascii="Corbel" w:hAnsi="Corbel"/>
          <w:bCs/>
          <w:i/>
          <w:sz w:val="16"/>
          <w:szCs w:val="16"/>
        </w:rPr>
      </w:pPr>
    </w:p>
    <w:p w14:paraId="78EDAF51" w14:textId="516BBE6B" w:rsidR="000A2D77" w:rsidRDefault="000A2D77" w:rsidP="006760A6">
      <w:pPr>
        <w:spacing w:after="0" w:line="240" w:lineRule="auto"/>
        <w:jc w:val="right"/>
        <w:rPr>
          <w:rFonts w:ascii="Corbel" w:hAnsi="Corbel"/>
          <w:bCs/>
          <w:i/>
          <w:sz w:val="16"/>
          <w:szCs w:val="16"/>
        </w:rPr>
      </w:pPr>
    </w:p>
    <w:p w14:paraId="2D7502C9" w14:textId="77777777" w:rsidR="000A2D77" w:rsidRPr="000A2D77" w:rsidRDefault="000A2D77" w:rsidP="006760A6">
      <w:pPr>
        <w:spacing w:after="0" w:line="240" w:lineRule="auto"/>
        <w:jc w:val="right"/>
        <w:rPr>
          <w:rFonts w:ascii="Corbel" w:hAnsi="Corbel"/>
          <w:bCs/>
          <w:i/>
          <w:sz w:val="16"/>
          <w:szCs w:val="16"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5388CAA1" w14:textId="001119A7" w:rsidR="0014662E" w:rsidRDefault="00C657E0" w:rsidP="0014662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4662E">
        <w:rPr>
          <w:rFonts w:ascii="Corbel" w:hAnsi="Corbel"/>
          <w:i/>
          <w:smallCaps/>
          <w:sz w:val="24"/>
          <w:szCs w:val="24"/>
        </w:rPr>
        <w:t>202</w:t>
      </w:r>
      <w:r w:rsidR="00CB02C1">
        <w:rPr>
          <w:rFonts w:ascii="Corbel" w:hAnsi="Corbel"/>
          <w:i/>
          <w:smallCaps/>
          <w:sz w:val="24"/>
          <w:szCs w:val="24"/>
        </w:rPr>
        <w:t>3</w:t>
      </w:r>
      <w:r w:rsidR="0014662E">
        <w:rPr>
          <w:rFonts w:ascii="Corbel" w:hAnsi="Corbel"/>
          <w:i/>
          <w:smallCaps/>
          <w:sz w:val="24"/>
          <w:szCs w:val="24"/>
        </w:rPr>
        <w:t>-202</w:t>
      </w:r>
      <w:r w:rsidR="00CB02C1">
        <w:rPr>
          <w:rFonts w:ascii="Corbel" w:hAnsi="Corbel"/>
          <w:i/>
          <w:smallCaps/>
          <w:sz w:val="24"/>
          <w:szCs w:val="24"/>
        </w:rPr>
        <w:t>6</w:t>
      </w:r>
    </w:p>
    <w:p w14:paraId="0E8AC799" w14:textId="24DA71AB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CB02C1">
        <w:rPr>
          <w:rFonts w:ascii="Corbel" w:hAnsi="Corbel"/>
          <w:bCs/>
          <w:sz w:val="20"/>
          <w:szCs w:val="20"/>
        </w:rPr>
        <w:t>5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CB02C1">
        <w:rPr>
          <w:rFonts w:ascii="Corbel" w:hAnsi="Corbel"/>
          <w:bCs/>
          <w:sz w:val="20"/>
          <w:szCs w:val="20"/>
        </w:rPr>
        <w:t>6</w:t>
      </w:r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E/I/GFiR/C-1.2b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67B94AD5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Konw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Teams</w:t>
      </w:r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366F624C" w14:textId="3F841DCE" w:rsidR="00C657E0" w:rsidRDefault="005E5FFB" w:rsidP="00C657E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 Wykład e</w:t>
      </w:r>
      <w:r w:rsidR="00C657E0" w:rsidRPr="007A286D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73DCEF8" w14:textId="4A783AEE" w:rsidR="005E5FFB" w:rsidRPr="007A286D" w:rsidRDefault="005E5FFB" w:rsidP="00C657E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 Ćwiczenia zaliczenie z oceną</w:t>
      </w:r>
      <w:bookmarkStart w:id="0" w:name="_GoBack"/>
      <w:bookmarkEnd w:id="0"/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CF8B2C8" w:rsidR="00C657E0" w:rsidRPr="007A286D" w:rsidRDefault="00C657E0" w:rsidP="000A2D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T.Gabrusewicz, L.</w:t>
            </w:r>
            <w:r w:rsidRPr="003A3CA7">
              <w:rPr>
                <w:rFonts w:ascii="Corbel" w:hAnsi="Corbel"/>
                <w:szCs w:val="24"/>
              </w:rPr>
              <w:t xml:space="preserve"> Nowak,K.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>,Warszawa : CeDeWu,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Kaczurak-Kozak,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lastRenderedPageBreak/>
              <w:t xml:space="preserve">Heciak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r w:rsidR="007A286D" w:rsidRPr="00F92473">
              <w:rPr>
                <w:rFonts w:ascii="Corbel" w:hAnsi="Corbel"/>
                <w:szCs w:val="24"/>
              </w:rPr>
              <w:t>Presscom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Hellich E, Rachunkowość jednostek samorządowych, Difin, Centrum Doradztwa i Informacji Difin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>Filip P, Audyt wewnętrzny jako narzędzie wspomagające procesy zarządzania w jednostkach sektora finansów publicznych [w] Sprawozdawczość i rewizja finansowa w procesie poprawy bezpieczeństwa obrotu gospodarczego, wyd AE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E0"/>
    <w:rsid w:val="00090D30"/>
    <w:rsid w:val="000A2D77"/>
    <w:rsid w:val="000C1E51"/>
    <w:rsid w:val="0014662E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5E5FFB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D6BEB"/>
    <w:rsid w:val="00BE2884"/>
    <w:rsid w:val="00BF4281"/>
    <w:rsid w:val="00C14CFE"/>
    <w:rsid w:val="00C657E0"/>
    <w:rsid w:val="00CB02C1"/>
    <w:rsid w:val="00CB2459"/>
    <w:rsid w:val="00CD0888"/>
    <w:rsid w:val="00D06E0B"/>
    <w:rsid w:val="00D152B7"/>
    <w:rsid w:val="00D3434F"/>
    <w:rsid w:val="00D36688"/>
    <w:rsid w:val="00D8458D"/>
    <w:rsid w:val="00EC57C5"/>
    <w:rsid w:val="00EF0D93"/>
    <w:rsid w:val="00F46A23"/>
    <w:rsid w:val="00F92473"/>
    <w:rsid w:val="00FB6E49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1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466C8-F858-49FD-88B7-DA0BD188F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7C6DFE-7E10-489B-A989-FAFF1285F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1117</Words>
  <Characters>6704</Characters>
  <Application>Microsoft Office Word</Application>
  <DocSecurity>0</DocSecurity>
  <Lines>55</Lines>
  <Paragraphs>15</Paragraphs>
  <ScaleCrop>false</ScaleCrop>
  <Company>Hewlett-Packard</Company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21</cp:revision>
  <dcterms:created xsi:type="dcterms:W3CDTF">2020-10-20T11:31:00Z</dcterms:created>
  <dcterms:modified xsi:type="dcterms:W3CDTF">2024-01-22T10:02:00Z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