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21CCF" w14:textId="432D7A5B" w:rsidR="00CD2119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9413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94139">
        <w:rPr>
          <w:rFonts w:ascii="Corbel" w:hAnsi="Corbel" w:cs="Corbel"/>
          <w:i/>
          <w:iCs/>
        </w:rPr>
        <w:t>7</w:t>
      </w:r>
      <w:r w:rsidR="00D94139" w:rsidRPr="00A4341C">
        <w:rPr>
          <w:rFonts w:ascii="Corbel" w:hAnsi="Corbel" w:cs="Corbel"/>
          <w:i/>
          <w:iCs/>
        </w:rPr>
        <w:t>/20</w:t>
      </w:r>
      <w:r w:rsidR="00D94139">
        <w:rPr>
          <w:rFonts w:ascii="Corbel" w:hAnsi="Corbel" w:cs="Corbel"/>
          <w:i/>
          <w:iCs/>
        </w:rPr>
        <w:t>23</w:t>
      </w:r>
    </w:p>
    <w:p w14:paraId="1156BC44" w14:textId="77777777" w:rsidR="00D94139" w:rsidRPr="0044012C" w:rsidRDefault="00D94139" w:rsidP="00CD2119">
      <w:pPr>
        <w:spacing w:line="240" w:lineRule="auto"/>
        <w:jc w:val="right"/>
        <w:rPr>
          <w:rFonts w:ascii="Corbel" w:hAnsi="Corbel"/>
          <w:bCs/>
          <w:i/>
        </w:rPr>
      </w:pP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23D9218B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116AA">
        <w:rPr>
          <w:rFonts w:ascii="Corbel" w:hAnsi="Corbel"/>
          <w:i/>
          <w:smallCaps/>
          <w:sz w:val="24"/>
          <w:szCs w:val="24"/>
        </w:rPr>
        <w:t>2024-2026</w:t>
      </w:r>
    </w:p>
    <w:p w14:paraId="44949530" w14:textId="190413A8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4116AA">
        <w:rPr>
          <w:rFonts w:ascii="Corbel" w:hAnsi="Corbel"/>
          <w:sz w:val="20"/>
          <w:szCs w:val="20"/>
        </w:rPr>
        <w:t>5</w:t>
      </w:r>
      <w:r w:rsidRPr="0044012C">
        <w:rPr>
          <w:rFonts w:ascii="Corbel" w:hAnsi="Corbel"/>
          <w:sz w:val="20"/>
          <w:szCs w:val="20"/>
        </w:rPr>
        <w:t>/202</w:t>
      </w:r>
      <w:r w:rsidR="004116AA">
        <w:rPr>
          <w:rFonts w:ascii="Corbel" w:hAnsi="Corbel"/>
          <w:sz w:val="20"/>
          <w:szCs w:val="20"/>
        </w:rPr>
        <w:t>6</w:t>
      </w:r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  <w:bookmarkStart w:id="0" w:name="_GoBack"/>
            <w:bookmarkEnd w:id="0"/>
          </w:p>
        </w:tc>
      </w:tr>
      <w:tr w:rsidR="0085747A" w:rsidRPr="00D06835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1546E99B" w:rsidR="0085747A" w:rsidRPr="00D06835" w:rsidRDefault="001159C4" w:rsidP="00D068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E/II/EiZSP/C-1.</w:t>
            </w:r>
            <w:r w:rsidR="00D0683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3c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59926B10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6511365F" w:rsidR="0085747A" w:rsidRPr="0044012C" w:rsidRDefault="00D068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55D56CFE" w:rsidR="00015B8F" w:rsidRPr="0044012C" w:rsidRDefault="00D06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022AA01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lastRenderedPageBreak/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484A5980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484A5980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484A5980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484A5980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FF05A4C" w14:textId="4D969822" w:rsidR="007761E4" w:rsidRPr="0044012C" w:rsidRDefault="007761E4" w:rsidP="484A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84A5980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761E4" w:rsidRPr="0044012C" w14:paraId="0C288AAF" w14:textId="77777777" w:rsidTr="484A5980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484A5980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przygotowywania różnych typów prac pisemnych i 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K_U12</w:t>
            </w:r>
          </w:p>
        </w:tc>
      </w:tr>
      <w:tr w:rsidR="007761E4" w:rsidRPr="0044012C" w14:paraId="78AE087B" w14:textId="77777777" w:rsidTr="484A5980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484A5980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Etyka polityki. Koncepcje i przykłady wolności pozytywnej i negatywnej oraz ich schierarchizowanie. Wskazanie różnicy między klasycznym i nowożytnym ethosem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zawodowa, korupcja i mobbing.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wideodziecka i wideopolityki.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 xml:space="preserve">Główne problemy etyki życia publicznego w perspektywie międzynarodowej. Najważniejsze problemy współczesnego człowieka oraz możliwości ich ograniczenia/rozwiązania z punktu widzenia etyki (w wyniku szerszego stosowania jej zasad w życiu publicznym). Specyfika </w:t>
            </w:r>
            <w:r w:rsidRPr="0044012C">
              <w:rPr>
                <w:rFonts w:ascii="Corbel" w:hAnsi="Corbel" w:cs="Tahoma"/>
                <w:color w:val="000000"/>
              </w:rPr>
              <w:lastRenderedPageBreak/>
              <w:t>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42BBCED3" w:rsidR="0085747A" w:rsidRPr="0044012C" w:rsidRDefault="00C61DC5" w:rsidP="00D94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4012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22A2718A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3784620A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5E5AC8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>, Juchacz</w:t>
            </w:r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>, Cern</w:t>
            </w:r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>, CoOpera, Wydawnictwo Naukowe IF UAM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5DD6C370" w:rsidRPr="0044012C"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Poznań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2009</w:t>
            </w:r>
            <w:r w:rsidR="00D06835">
              <w:rPr>
                <w:rFonts w:ascii="Corbel" w:hAnsi="Corbel"/>
                <w:b w:val="0"/>
                <w:smallCaps w:val="0"/>
              </w:rPr>
              <w:t>.</w:t>
            </w:r>
          </w:p>
          <w:p w14:paraId="49224F1E" w14:textId="335773DD" w:rsidR="00520AF0" w:rsidRPr="0044012C" w:rsidRDefault="2337F238" w:rsidP="00D0683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w życiu publicznym</w:t>
            </w:r>
            <w:r w:rsidRPr="0044012C">
              <w:rPr>
                <w:rFonts w:ascii="Corbel" w:hAnsi="Corbel"/>
                <w:b w:val="0"/>
                <w:smallCaps w:val="0"/>
              </w:rPr>
              <w:t>,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 Oficyna Wydawnicza </w:t>
            </w:r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2012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4C768A91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Bogucka I., Pietrzykowski T.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D06835">
              <w:rPr>
                <w:rFonts w:ascii="Corbel" w:hAnsi="Corbel"/>
                <w:b w:val="0"/>
                <w:i/>
                <w:smallCaps w:val="0"/>
              </w:rPr>
              <w:t>Etyka w administracji publicznej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>
              <w:rPr>
                <w:rFonts w:ascii="Corbel" w:hAnsi="Corbel"/>
                <w:b w:val="0"/>
                <w:smallCaps w:val="0"/>
              </w:rPr>
              <w:t>2015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616B7468" w14:textId="74ECBBF6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Wizja sprawiedliwej globalizacji. Propozycje usprawnień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PWN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Warszawa2007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6F51EA9A" w:rsidR="00520AF0" w:rsidRPr="0044012C" w:rsidRDefault="517F8FB0" w:rsidP="00D0683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Człowiek i jego rozwój w świetle koncepcji int</w:t>
            </w:r>
            <w:r w:rsidR="28B66A2E" w:rsidRPr="00D06835">
              <w:rPr>
                <w:rFonts w:ascii="Corbel" w:hAnsi="Corbel"/>
                <w:b w:val="0"/>
                <w:i/>
                <w:smallCaps w:val="0"/>
              </w:rPr>
              <w:t>e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grujących nauki ekonomiczne i społeczne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06835">
              <w:rPr>
                <w:rFonts w:ascii="Corbel" w:hAnsi="Corbel"/>
                <w:b w:val="0"/>
                <w:smallCaps w:val="0"/>
              </w:rPr>
              <w:t>„</w:t>
            </w:r>
            <w:r w:rsidRPr="00D06835">
              <w:rPr>
                <w:rFonts w:ascii="Corbel" w:hAnsi="Corbel"/>
                <w:b w:val="0"/>
                <w:iCs/>
                <w:smallCaps w:val="0"/>
              </w:rPr>
              <w:t>Nierówności Społeczne a Wzrost Gospodarczy</w:t>
            </w:r>
            <w:r w:rsidR="00D06835">
              <w:rPr>
                <w:rFonts w:ascii="Corbel" w:hAnsi="Corbel"/>
                <w:b w:val="0"/>
                <w:iCs/>
                <w:smallCaps w:val="0"/>
              </w:rPr>
              <w:t>”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2015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, nr </w:t>
            </w:r>
            <w:r w:rsidRPr="0044012C">
              <w:rPr>
                <w:rFonts w:ascii="Corbel" w:hAnsi="Corbel"/>
                <w:b w:val="0"/>
                <w:smallCaps w:val="0"/>
              </w:rPr>
              <w:t>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06699" w14:textId="77777777" w:rsidR="00573A52" w:rsidRDefault="00573A52" w:rsidP="00C16ABF">
      <w:pPr>
        <w:spacing w:after="0" w:line="240" w:lineRule="auto"/>
      </w:pPr>
      <w:r>
        <w:separator/>
      </w:r>
    </w:p>
  </w:endnote>
  <w:endnote w:type="continuationSeparator" w:id="0">
    <w:p w14:paraId="254840B0" w14:textId="77777777" w:rsidR="00573A52" w:rsidRDefault="00573A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7811F" w14:textId="77777777" w:rsidR="00573A52" w:rsidRDefault="00573A52" w:rsidP="00C16ABF">
      <w:pPr>
        <w:spacing w:after="0" w:line="240" w:lineRule="auto"/>
      </w:pPr>
      <w:r>
        <w:separator/>
      </w:r>
    </w:p>
  </w:footnote>
  <w:footnote w:type="continuationSeparator" w:id="0">
    <w:p w14:paraId="3BA3971B" w14:textId="77777777" w:rsidR="00573A52" w:rsidRDefault="00573A52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0591"/>
    <w:rsid w:val="001640A7"/>
    <w:rsid w:val="00164FA7"/>
    <w:rsid w:val="00166A03"/>
    <w:rsid w:val="001718A7"/>
    <w:rsid w:val="001737CF"/>
    <w:rsid w:val="0017512A"/>
    <w:rsid w:val="00176083"/>
    <w:rsid w:val="001764DE"/>
    <w:rsid w:val="001812A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6AA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73A52"/>
    <w:rsid w:val="0059484D"/>
    <w:rsid w:val="005A0855"/>
    <w:rsid w:val="005A133C"/>
    <w:rsid w:val="005A3196"/>
    <w:rsid w:val="005C080F"/>
    <w:rsid w:val="005C55E5"/>
    <w:rsid w:val="005C696A"/>
    <w:rsid w:val="005D25F2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41B4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C9"/>
    <w:rsid w:val="00A84C85"/>
    <w:rsid w:val="00A97DE1"/>
    <w:rsid w:val="00AB053C"/>
    <w:rsid w:val="00AC51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89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06835"/>
    <w:rsid w:val="00D0742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39"/>
    <w:rsid w:val="00DA2114"/>
    <w:rsid w:val="00DA6057"/>
    <w:rsid w:val="00DB015F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84A5980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F69A268-4CD9-4890-AB2A-E7CD35F8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59B48-9BC4-41AE-8AF7-1B5FC06C5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19A0E0-5409-4BA0-8EB7-5170CB4E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1354</Words>
  <Characters>8126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2020-10-22T19:39:00Z</dcterms:created>
  <dcterms:modified xsi:type="dcterms:W3CDTF">2024-07-15T11:25:00Z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