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AA5AA" w14:textId="284285C1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C217B" w:rsidRPr="00E960BB">
        <w:rPr>
          <w:rFonts w:ascii="Corbel" w:hAnsi="Corbel"/>
          <w:bCs/>
          <w:i/>
        </w:rPr>
        <w:t xml:space="preserve">Załącznik nr 1.5 do Zarządzenia Rektora UR  nr </w:t>
      </w:r>
      <w:r w:rsidR="00FC217B">
        <w:rPr>
          <w:rFonts w:ascii="Corbel" w:hAnsi="Corbel"/>
          <w:bCs/>
          <w:i/>
        </w:rPr>
        <w:t>7</w:t>
      </w:r>
      <w:r w:rsidR="00FC217B" w:rsidRPr="00E960BB">
        <w:rPr>
          <w:rFonts w:ascii="Corbel" w:hAnsi="Corbel"/>
          <w:bCs/>
          <w:i/>
        </w:rPr>
        <w:t>/20</w:t>
      </w:r>
      <w:r w:rsidR="00FC217B">
        <w:rPr>
          <w:rFonts w:ascii="Corbel" w:hAnsi="Corbel"/>
          <w:bCs/>
          <w:i/>
        </w:rPr>
        <w:t>23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37D39CE8" w14:textId="77777777" w:rsidR="00BC04E4" w:rsidRDefault="00F96105" w:rsidP="00BC04E4">
      <w:pPr>
        <w:spacing w:after="0" w:line="240" w:lineRule="exact"/>
        <w:jc w:val="center"/>
        <w:rPr>
          <w:rFonts w:ascii="Corbel" w:hAnsi="Corbel"/>
          <w:i/>
          <w:smallCaps/>
          <w:color w:val="FF0000"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BC04E4">
        <w:rPr>
          <w:rFonts w:ascii="Corbel" w:hAnsi="Corbel"/>
          <w:iCs/>
          <w:smallCaps/>
        </w:rPr>
        <w:t>2024-202</w:t>
      </w:r>
      <w:r w:rsidR="00BC04E4">
        <w:rPr>
          <w:rFonts w:ascii="Corbel" w:hAnsi="Corbel"/>
          <w:smallCaps/>
        </w:rPr>
        <w:t>7</w:t>
      </w:r>
    </w:p>
    <w:p w14:paraId="0242C31F" w14:textId="361AA909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</w:p>
    <w:p w14:paraId="0F306B20" w14:textId="2FFC992D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C04E4">
        <w:rPr>
          <w:rFonts w:ascii="Corbel" w:hAnsi="Corbel" w:cs="Corbel"/>
          <w:sz w:val="20"/>
          <w:szCs w:val="20"/>
        </w:rPr>
        <w:t>5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BC04E4">
        <w:rPr>
          <w:rFonts w:ascii="Corbel" w:hAnsi="Corbel" w:cs="Corbel"/>
          <w:sz w:val="20"/>
          <w:szCs w:val="20"/>
        </w:rPr>
        <w:t>6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Zapoznanie studentów z kategoriami, zasadami, normami oraz narzędziami </w:t>
            </w:r>
            <w:r w:rsidRPr="00C81A1F">
              <w:rPr>
                <w:rFonts w:ascii="Corbel" w:hAnsi="Corbel" w:cs="Corbel"/>
                <w:b w:val="0"/>
                <w:bCs w:val="0"/>
              </w:rPr>
              <w:lastRenderedPageBreak/>
              <w:t>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 xml:space="preserve">Papiery wartościowe jako element aktywów banku. Modele i strategie zarządzania portfelem 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614485B0" w:rsidR="00F96105" w:rsidRPr="00C81A1F" w:rsidRDefault="00F96105" w:rsidP="00FC217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z </w:t>
            </w:r>
            <w:r w:rsidR="00FC217B">
              <w:rPr>
                <w:rFonts w:ascii="Corbel" w:hAnsi="Corbel" w:cs="Corbel"/>
              </w:rPr>
              <w:t xml:space="preserve">harmonogramu </w:t>
            </w:r>
            <w:r w:rsidRPr="00C81A1F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80458"/>
    <w:rsid w:val="009C54AE"/>
    <w:rsid w:val="009F5B40"/>
    <w:rsid w:val="00B16566"/>
    <w:rsid w:val="00BC04E4"/>
    <w:rsid w:val="00BC1AFF"/>
    <w:rsid w:val="00C81A1F"/>
    <w:rsid w:val="00CA6B58"/>
    <w:rsid w:val="00CE1E79"/>
    <w:rsid w:val="00DE617B"/>
    <w:rsid w:val="00E72DA4"/>
    <w:rsid w:val="00EA4832"/>
    <w:rsid w:val="00EE3AE1"/>
    <w:rsid w:val="00F96105"/>
    <w:rsid w:val="00FC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User</cp:lastModifiedBy>
  <cp:revision>17</cp:revision>
  <dcterms:created xsi:type="dcterms:W3CDTF">2021-01-31T21:42:00Z</dcterms:created>
  <dcterms:modified xsi:type="dcterms:W3CDTF">2024-07-24T08:34:00Z</dcterms:modified>
</cp:coreProperties>
</file>