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51ADCCD" w:rsidR="006E5D65" w:rsidRPr="008B50B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70F0E" w:rsidRPr="00D350D9">
        <w:rPr>
          <w:rFonts w:ascii="Corbel" w:hAnsi="Corbel"/>
          <w:bCs/>
          <w:i/>
        </w:rPr>
        <w:t xml:space="preserve">Załącznik nr 1.5 do Zarządzenia Rektora UR  nr </w:t>
      </w:r>
      <w:r w:rsidR="00670F0E">
        <w:rPr>
          <w:rFonts w:ascii="Corbel" w:hAnsi="Corbel"/>
          <w:bCs/>
          <w:i/>
        </w:rPr>
        <w:t>7</w:t>
      </w:r>
      <w:r w:rsidR="00670F0E" w:rsidRPr="00D350D9">
        <w:rPr>
          <w:rFonts w:ascii="Corbel" w:hAnsi="Corbel"/>
          <w:bCs/>
          <w:i/>
        </w:rPr>
        <w:t>/20</w:t>
      </w:r>
      <w:r w:rsidR="00670F0E">
        <w:rPr>
          <w:rFonts w:ascii="Corbel" w:hAnsi="Corbel"/>
          <w:bCs/>
          <w:i/>
        </w:rPr>
        <w:t>23</w:t>
      </w:r>
    </w:p>
    <w:p w14:paraId="76CB7A0A" w14:textId="77777777" w:rsidR="0085747A" w:rsidRPr="008B50B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B50B1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B2EBA99" w:rsidR="00DC6D0C" w:rsidRPr="008B50B1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B50B1">
        <w:rPr>
          <w:rFonts w:ascii="Corbel" w:hAnsi="Corbel"/>
          <w:b/>
          <w:smallCaps/>
          <w:sz w:val="24"/>
          <w:szCs w:val="24"/>
        </w:rPr>
        <w:t>dotyczy cyklu kształcenia</w:t>
      </w:r>
      <w:r w:rsidR="00E36125" w:rsidRPr="008B50B1">
        <w:rPr>
          <w:rFonts w:ascii="Corbel" w:hAnsi="Corbel"/>
          <w:i/>
          <w:smallCaps/>
          <w:sz w:val="24"/>
          <w:szCs w:val="24"/>
        </w:rPr>
        <w:t xml:space="preserve"> </w:t>
      </w:r>
      <w:r w:rsidR="00A94D1B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28C037C8" w:rsidR="00445970" w:rsidRPr="008B50B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B50B1">
        <w:rPr>
          <w:rFonts w:ascii="Corbel" w:hAnsi="Corbel"/>
          <w:sz w:val="20"/>
          <w:szCs w:val="20"/>
        </w:rPr>
        <w:t xml:space="preserve">Rok akademicki   </w:t>
      </w:r>
      <w:r w:rsidR="00182C9E" w:rsidRPr="008B50B1">
        <w:rPr>
          <w:rFonts w:ascii="Corbel" w:hAnsi="Corbel"/>
          <w:sz w:val="20"/>
          <w:szCs w:val="20"/>
        </w:rPr>
        <w:t>202</w:t>
      </w:r>
      <w:r w:rsidR="00A94D1B">
        <w:rPr>
          <w:rFonts w:ascii="Corbel" w:hAnsi="Corbel"/>
          <w:sz w:val="20"/>
          <w:szCs w:val="20"/>
        </w:rPr>
        <w:t>5</w:t>
      </w:r>
      <w:r w:rsidR="00182C9E" w:rsidRPr="008B50B1">
        <w:rPr>
          <w:rFonts w:ascii="Corbel" w:hAnsi="Corbel"/>
          <w:sz w:val="20"/>
          <w:szCs w:val="20"/>
        </w:rPr>
        <w:t>/202</w:t>
      </w:r>
      <w:r w:rsidR="00A94D1B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749206E" w14:textId="77777777" w:rsidR="0085747A" w:rsidRPr="008B50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B50B1">
        <w:rPr>
          <w:rFonts w:ascii="Corbel" w:hAnsi="Corbel"/>
          <w:szCs w:val="24"/>
        </w:rPr>
        <w:t xml:space="preserve">1. </w:t>
      </w:r>
      <w:r w:rsidR="0085747A" w:rsidRPr="008B50B1">
        <w:rPr>
          <w:rFonts w:ascii="Corbel" w:hAnsi="Corbel"/>
          <w:szCs w:val="24"/>
        </w:rPr>
        <w:t xml:space="preserve">Podstawowe </w:t>
      </w:r>
      <w:r w:rsidR="00445970" w:rsidRPr="008B50B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B50B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8B50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55C11D1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Rynek instrumentów pochodnych</w:t>
            </w:r>
          </w:p>
        </w:tc>
      </w:tr>
      <w:tr w:rsidR="0085747A" w:rsidRPr="00CF7E96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8B50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B50B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54C2C6A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  <w:lang w:val="en-GB"/>
              </w:rPr>
              <w:t>FiR/II/BiDF/C-1.3b</w:t>
            </w:r>
          </w:p>
        </w:tc>
      </w:tr>
      <w:tr w:rsidR="0085747A" w:rsidRPr="008B50B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8B50B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</w:t>
            </w:r>
            <w:r w:rsidR="0085747A" w:rsidRPr="008B50B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B50B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8B50B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B50B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3AF7F0E" w:rsidR="0085747A" w:rsidRPr="008B50B1" w:rsidRDefault="008F43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B50B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B682BF1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8B50B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8B50B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35E10D9" w:rsidR="0085747A" w:rsidRPr="008B50B1" w:rsidRDefault="008B50B1" w:rsidP="00D46F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8B50B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8B50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B50B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1E08D78" w:rsidR="0085747A" w:rsidRPr="008B50B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8B50B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B50B1">
              <w:rPr>
                <w:rFonts w:ascii="Corbel" w:hAnsi="Corbel"/>
                <w:sz w:val="24"/>
                <w:szCs w:val="24"/>
              </w:rPr>
              <w:t>/y</w:t>
            </w:r>
            <w:r w:rsidRPr="008B50B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E00F443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8B50B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776124" w:rsidR="0085747A" w:rsidRPr="008B50B1" w:rsidRDefault="003823BE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8B50B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8B50B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8B50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B50B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8B50B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8B50B1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8B50B1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8B50B1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5964E3F2" w:rsidR="003823BE" w:rsidRPr="008B50B1" w:rsidRDefault="003823BE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8B50B1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1DE0F9B4" w14:textId="0F570C3E" w:rsidR="0085747A" w:rsidRPr="008B50B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* </w:t>
      </w:r>
      <w:r w:rsidR="00B90885" w:rsidRPr="008B50B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B50B1">
        <w:rPr>
          <w:rFonts w:ascii="Corbel" w:hAnsi="Corbel"/>
          <w:b w:val="0"/>
          <w:sz w:val="24"/>
          <w:szCs w:val="24"/>
        </w:rPr>
        <w:t>e,</w:t>
      </w:r>
      <w:r w:rsidR="00C41B9B" w:rsidRPr="008B50B1">
        <w:rPr>
          <w:rFonts w:ascii="Corbel" w:hAnsi="Corbel"/>
          <w:b w:val="0"/>
          <w:sz w:val="24"/>
          <w:szCs w:val="24"/>
        </w:rPr>
        <w:t xml:space="preserve"> </w:t>
      </w:r>
      <w:r w:rsidRPr="008B50B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B50B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8B50B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>1.</w:t>
      </w:r>
      <w:r w:rsidR="00E22FBC" w:rsidRPr="008B50B1">
        <w:rPr>
          <w:rFonts w:ascii="Corbel" w:hAnsi="Corbel"/>
          <w:sz w:val="24"/>
          <w:szCs w:val="24"/>
        </w:rPr>
        <w:t>1</w:t>
      </w:r>
      <w:r w:rsidRPr="008B50B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8B50B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B50B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8B50B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(</w:t>
            </w:r>
            <w:r w:rsidR="00363F78" w:rsidRPr="008B50B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B50B1">
              <w:rPr>
                <w:rFonts w:ascii="Corbel" w:hAnsi="Corbel"/>
                <w:b/>
                <w:szCs w:val="24"/>
              </w:rPr>
              <w:t>Liczba pkt</w:t>
            </w:r>
            <w:r w:rsidR="00B90885" w:rsidRPr="008B50B1">
              <w:rPr>
                <w:rFonts w:ascii="Corbel" w:hAnsi="Corbel"/>
                <w:b/>
                <w:szCs w:val="24"/>
              </w:rPr>
              <w:t>.</w:t>
            </w:r>
            <w:r w:rsidRPr="008B50B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8B50B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689481D2" w:rsidR="003823BE" w:rsidRPr="008B50B1" w:rsidRDefault="00E36125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5369D2BD" w:rsidR="003823BE" w:rsidRPr="008B50B1" w:rsidRDefault="00A33C63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68403511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59BAE094" w:rsidR="003823BE" w:rsidRPr="008B50B1" w:rsidRDefault="00E36125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8B50B1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0A293830" w14:textId="77777777" w:rsidR="00923D7D" w:rsidRPr="008B50B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8B50B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>1.</w:t>
      </w:r>
      <w:r w:rsidR="00E22FBC" w:rsidRPr="008B50B1">
        <w:rPr>
          <w:rFonts w:ascii="Corbel" w:hAnsi="Corbel"/>
          <w:smallCaps w:val="0"/>
          <w:szCs w:val="24"/>
        </w:rPr>
        <w:t>2</w:t>
      </w:r>
      <w:r w:rsidR="00F83B28" w:rsidRPr="008B50B1">
        <w:rPr>
          <w:rFonts w:ascii="Corbel" w:hAnsi="Corbel"/>
          <w:smallCaps w:val="0"/>
          <w:szCs w:val="24"/>
        </w:rPr>
        <w:t>.</w:t>
      </w:r>
      <w:r w:rsidR="00F83B28" w:rsidRPr="008B50B1">
        <w:rPr>
          <w:rFonts w:ascii="Corbel" w:hAnsi="Corbel"/>
          <w:smallCaps w:val="0"/>
          <w:szCs w:val="24"/>
        </w:rPr>
        <w:tab/>
      </w:r>
      <w:r w:rsidRPr="008B50B1">
        <w:rPr>
          <w:rFonts w:ascii="Corbel" w:hAnsi="Corbel"/>
          <w:smallCaps w:val="0"/>
          <w:szCs w:val="24"/>
        </w:rPr>
        <w:t xml:space="preserve">Sposób realizacji zajęć  </w:t>
      </w:r>
    </w:p>
    <w:p w14:paraId="0351BF78" w14:textId="77777777" w:rsidR="008F43EC" w:rsidRPr="008B50B1" w:rsidRDefault="008F43E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22B1750" w14:textId="77777777" w:rsidR="008F43EC" w:rsidRPr="00617C46" w:rsidRDefault="008F43EC" w:rsidP="008F43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7DF85D57" w14:textId="7A2A4528" w:rsidR="0085747A" w:rsidRPr="008B50B1" w:rsidRDefault="008F43EC" w:rsidP="008F43EC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AC126E" w14:textId="77777777" w:rsidR="008F43EC" w:rsidRDefault="008F43E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C21D402" w14:textId="5E4BEC63" w:rsidR="00E22FBC" w:rsidRPr="008B50B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1.3 </w:t>
      </w:r>
      <w:r w:rsidR="00F83B28" w:rsidRPr="008B50B1">
        <w:rPr>
          <w:rFonts w:ascii="Corbel" w:hAnsi="Corbel"/>
          <w:smallCaps w:val="0"/>
          <w:szCs w:val="24"/>
        </w:rPr>
        <w:tab/>
      </w:r>
      <w:r w:rsidRPr="008B50B1">
        <w:rPr>
          <w:rFonts w:ascii="Corbel" w:hAnsi="Corbel"/>
          <w:smallCaps w:val="0"/>
          <w:szCs w:val="24"/>
        </w:rPr>
        <w:t>For</w:t>
      </w:r>
      <w:r w:rsidR="00445970" w:rsidRPr="008B50B1">
        <w:rPr>
          <w:rFonts w:ascii="Corbel" w:hAnsi="Corbel"/>
          <w:smallCaps w:val="0"/>
          <w:szCs w:val="24"/>
        </w:rPr>
        <w:t xml:space="preserve">ma zaliczenia przedmiotu </w:t>
      </w:r>
      <w:r w:rsidRPr="008B50B1">
        <w:rPr>
          <w:rFonts w:ascii="Corbel" w:hAnsi="Corbel"/>
          <w:smallCaps w:val="0"/>
          <w:szCs w:val="24"/>
        </w:rPr>
        <w:t xml:space="preserve"> (z toku) </w:t>
      </w:r>
    </w:p>
    <w:p w14:paraId="308C64AC" w14:textId="77777777" w:rsidR="008F43EC" w:rsidRDefault="008F43EC" w:rsidP="008F43E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8CF1EE0" w14:textId="7BBCB92A" w:rsidR="009C54AE" w:rsidRPr="008F43EC" w:rsidRDefault="0012696A" w:rsidP="008F43E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8F43EC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8B50B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8B50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50B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B50B1" w14:paraId="003EB43F" w14:textId="77777777" w:rsidTr="00745302">
        <w:tc>
          <w:tcPr>
            <w:tcW w:w="9670" w:type="dxa"/>
          </w:tcPr>
          <w:p w14:paraId="20BFFC4C" w14:textId="22D042E7" w:rsidR="0085747A" w:rsidRPr="008B50B1" w:rsidRDefault="00E36125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matematyki, finansów i rynku finansowego,  w tym umiejętność interpretacji zjawisk ekonomicznych</w:t>
            </w:r>
          </w:p>
        </w:tc>
      </w:tr>
    </w:tbl>
    <w:p w14:paraId="0095970D" w14:textId="77777777" w:rsidR="00153C41" w:rsidRPr="008B50B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50B1">
        <w:rPr>
          <w:rFonts w:ascii="Corbel" w:hAnsi="Corbel"/>
          <w:szCs w:val="24"/>
        </w:rPr>
        <w:t>3.</w:t>
      </w:r>
      <w:r w:rsidR="00A84C85" w:rsidRPr="008B50B1">
        <w:rPr>
          <w:rFonts w:ascii="Corbel" w:hAnsi="Corbel"/>
          <w:szCs w:val="24"/>
        </w:rPr>
        <w:t>cele, efekty uczenia się</w:t>
      </w:r>
      <w:r w:rsidR="0085747A" w:rsidRPr="008B50B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8B50B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3.1 </w:t>
      </w:r>
      <w:r w:rsidR="00C05F44" w:rsidRPr="008B50B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8B50B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8B50B1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4A217178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Zapoznanie studentów z prawidłowościami i funkcjonowaniem rynku instrumentów pochodnych.</w:t>
            </w:r>
          </w:p>
        </w:tc>
      </w:tr>
      <w:tr w:rsidR="003823BE" w:rsidRPr="008B50B1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8B50B1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2D660F44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Wyjaśnienie zależności instrumentów pochodnych od instrumentów bazowych oraz roli instrumentów pochodnych w zakresie zabezpieczenia przed ryzykiem.</w:t>
            </w:r>
          </w:p>
        </w:tc>
      </w:tr>
      <w:tr w:rsidR="003823BE" w:rsidRPr="008B50B1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2C0706CA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Wypracowanie umiejętności posługiwania się instrumentami pochodnymi, przy uwzględnieniu ich wad i zalet.</w:t>
            </w:r>
          </w:p>
        </w:tc>
      </w:tr>
      <w:tr w:rsidR="003823BE" w:rsidRPr="008B50B1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7B262AA5" w:rsidR="003823BE" w:rsidRPr="008B50B1" w:rsidRDefault="00E36125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 na nowoczesne instrumenty finansowe.</w:t>
            </w:r>
          </w:p>
        </w:tc>
      </w:tr>
    </w:tbl>
    <w:p w14:paraId="7942D7EE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8B50B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 xml:space="preserve">3.2 </w:t>
      </w:r>
      <w:r w:rsidR="001D7B54" w:rsidRPr="008B50B1">
        <w:rPr>
          <w:rFonts w:ascii="Corbel" w:hAnsi="Corbel"/>
          <w:b/>
          <w:sz w:val="24"/>
          <w:szCs w:val="24"/>
        </w:rPr>
        <w:t xml:space="preserve">Efekty </w:t>
      </w:r>
      <w:r w:rsidR="00C05F44" w:rsidRPr="008B50B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B50B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8B50B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B50B1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B50B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B50B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8B50B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8B50B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B50B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8B50B1" w14:paraId="2FAE894A" w14:textId="77777777" w:rsidTr="003823BE">
        <w:tc>
          <w:tcPr>
            <w:tcW w:w="1681" w:type="dxa"/>
          </w:tcPr>
          <w:p w14:paraId="48E5C6E7" w14:textId="6007AB6F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50B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670CBE2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Charakteryzuje podstawowe rodzaje instrumentów pochodnych oraz skutki ich zastosowania.</w:t>
            </w:r>
          </w:p>
        </w:tc>
        <w:tc>
          <w:tcPr>
            <w:tcW w:w="1865" w:type="dxa"/>
          </w:tcPr>
          <w:p w14:paraId="51613653" w14:textId="0444BC03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K_W07</w:t>
            </w:r>
          </w:p>
          <w:p w14:paraId="208BD672" w14:textId="74D78F91" w:rsidR="003823BE" w:rsidRPr="008B50B1" w:rsidRDefault="0012696A" w:rsidP="00E3612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K_W08</w:t>
            </w:r>
          </w:p>
        </w:tc>
      </w:tr>
      <w:tr w:rsidR="003823BE" w:rsidRPr="008B50B1" w14:paraId="48B116A6" w14:textId="77777777" w:rsidTr="003823BE">
        <w:tc>
          <w:tcPr>
            <w:tcW w:w="1681" w:type="dxa"/>
          </w:tcPr>
          <w:p w14:paraId="55D5A65C" w14:textId="41BD435B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F684290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Potrafi wykorzystać wiedzę teoretyczną dotyczącą instrumentów pochodnych w praktyce, proponuje sposoby ograniczania możliwego negatywnego ich oddziaływania.</w:t>
            </w:r>
          </w:p>
        </w:tc>
        <w:tc>
          <w:tcPr>
            <w:tcW w:w="1865" w:type="dxa"/>
          </w:tcPr>
          <w:p w14:paraId="4A6DD19B" w14:textId="1C39C599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K_U06</w:t>
            </w:r>
          </w:p>
          <w:p w14:paraId="720F16A6" w14:textId="2B1CB00E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K_U09</w:t>
            </w:r>
          </w:p>
          <w:p w14:paraId="656E048A" w14:textId="069ADD29" w:rsidR="003823BE" w:rsidRPr="008B50B1" w:rsidRDefault="003823B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23BE" w:rsidRPr="008B50B1" w14:paraId="32BADA47" w14:textId="77777777" w:rsidTr="003823BE">
        <w:tc>
          <w:tcPr>
            <w:tcW w:w="1681" w:type="dxa"/>
          </w:tcPr>
          <w:p w14:paraId="4CBEB17A" w14:textId="7924638E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573A8CD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Zachowuje krytycyzm i niezależność myślenia przy zastosowaniu instrumentów pochodnych,  prawidłowo identyfikuje i rozstrzyga dylematy współczesnej inżynierii finansowej.</w:t>
            </w:r>
          </w:p>
        </w:tc>
        <w:tc>
          <w:tcPr>
            <w:tcW w:w="1865" w:type="dxa"/>
          </w:tcPr>
          <w:p w14:paraId="77891C3A" w14:textId="1FDFB29E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K_K02</w:t>
            </w:r>
          </w:p>
          <w:p w14:paraId="620CD494" w14:textId="6536F57F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K_K04</w:t>
            </w:r>
          </w:p>
          <w:p w14:paraId="2BA6A2A8" w14:textId="3AB91964" w:rsidR="003823BE" w:rsidRPr="008B50B1" w:rsidRDefault="003823B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8B50B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>3.3</w:t>
      </w:r>
      <w:r w:rsidR="0085747A" w:rsidRPr="008B50B1">
        <w:rPr>
          <w:rFonts w:ascii="Corbel" w:hAnsi="Corbel"/>
          <w:b/>
          <w:sz w:val="24"/>
          <w:szCs w:val="24"/>
        </w:rPr>
        <w:t>T</w:t>
      </w:r>
      <w:r w:rsidR="001D7B54" w:rsidRPr="008B50B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8B50B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8B50B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B50B1" w14:paraId="2F84004D" w14:textId="77777777" w:rsidTr="00FD24AD">
        <w:tc>
          <w:tcPr>
            <w:tcW w:w="9520" w:type="dxa"/>
          </w:tcPr>
          <w:p w14:paraId="24ECE7C4" w14:textId="77777777" w:rsidR="0085747A" w:rsidRPr="008B50B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B50B1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AE7B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Pojęcie instrumentów pochodnych.</w:t>
            </w:r>
          </w:p>
          <w:p w14:paraId="457734F5" w14:textId="2A845577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Klasyfikacja instrumentów pochodnych – instrumenty symetryczne i instrumenty niesymetryczne. Rynek instrumentów pochodnych. Ryzyko i stopa zwrotu. Przykłady miar ryzyka. Instrumenty wolne od ryzyka. Sposoby zastosowania instrumentów pochodnych (hedging, spekulacja, arbitraż).</w:t>
            </w:r>
          </w:p>
        </w:tc>
      </w:tr>
      <w:tr w:rsidR="00FD24AD" w:rsidRPr="008B50B1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8D2B" w14:textId="77777777" w:rsidR="00E36125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Opcje, warranty i ich charakterystyka.</w:t>
            </w:r>
          </w:p>
          <w:p w14:paraId="2E7380B0" w14:textId="62AA71CD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Opcje europejskie i amerykańskie. Wartość wewnętrzna i czasowa opcji, opcje w cenie, poza ceną, po cenie. Parytet call-put. Opcje na GPW w Warszawie: specyfikacja kontraktu, kwotowanie, liczba otwartych pozycji. Opcje na kontrakty futures. Warranty, przykłady warrantów notowanych na GPW.</w:t>
            </w:r>
          </w:p>
        </w:tc>
      </w:tr>
      <w:tr w:rsidR="00FD24AD" w:rsidRPr="008B50B1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B737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Kontrakty swap.</w:t>
            </w:r>
          </w:p>
          <w:p w14:paraId="3AAC0040" w14:textId="52D888B4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lastRenderedPageBreak/>
              <w:t>Kontrakty na waluty, akcje z dywidendą, surowce, indeksy giełdowe, stopy procentowe</w:t>
            </w:r>
          </w:p>
        </w:tc>
      </w:tr>
      <w:tr w:rsidR="00FD24AD" w:rsidRPr="008B50B1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73B6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lastRenderedPageBreak/>
              <w:t>Kontrakty forward.</w:t>
            </w:r>
          </w:p>
          <w:p w14:paraId="4B9AE595" w14:textId="18AF0169" w:rsidR="00FD24AD" w:rsidRPr="008B50B1" w:rsidRDefault="00E36125" w:rsidP="00E3612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Rynek spot i rynek terminowy. Cena forward. Kwotowanie w punktach swapowych. Stopa użyteczności.</w:t>
            </w:r>
          </w:p>
        </w:tc>
      </w:tr>
      <w:tr w:rsidR="00E36125" w:rsidRPr="008B50B1" w14:paraId="5A30BDF6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F642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Kontrakty futures.</w:t>
            </w:r>
          </w:p>
          <w:p w14:paraId="008DC7A5" w14:textId="67661153" w:rsidR="00E36125" w:rsidRPr="008B50B1" w:rsidRDefault="00E36125" w:rsidP="00E36125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Depozyt i równanie do rynku. Baza i ryzyko bazy. Cena futures a cena forward. Rolowanie pozycji. Kontrakty notowane na GPW w Warszawie: cena rozliczenia, kwotowanie, liczba otwartych pozycji.</w:t>
            </w:r>
          </w:p>
        </w:tc>
      </w:tr>
      <w:tr w:rsidR="00E36125" w:rsidRPr="008B50B1" w14:paraId="4F0A4E2D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988A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Rynek instrumentów pochodnych w Polsce.</w:t>
            </w:r>
          </w:p>
          <w:p w14:paraId="7107B07B" w14:textId="3A20B568" w:rsidR="00E36125" w:rsidRPr="008B50B1" w:rsidRDefault="00E36125" w:rsidP="00E36125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Korzyści i zagrożenia inwestycji w instrumenty pochodne. Spekulacja, osłona przed ryzykiem i arbitraż,  przykłady transakcji z wykorzystaniem opcji i kontraktów terminowych. Kierunek zmian regulacyjnych.</w:t>
            </w:r>
          </w:p>
        </w:tc>
      </w:tr>
    </w:tbl>
    <w:p w14:paraId="0313640A" w14:textId="0CABB12E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8B50B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8B50B1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B50B1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6E9EF6B2" w14:textId="77777777" w:rsidR="00BC1C6D" w:rsidRPr="008B50B1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8B50B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8B50B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 </w:t>
      </w:r>
      <w:r w:rsidR="0085747A" w:rsidRPr="008B50B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8B50B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8B50B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B50B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B50B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8B50B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8B50B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8B50B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8B50B1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4C7D007B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0C8834C8" w:rsidR="00F24FFC" w:rsidRPr="008B50B1" w:rsidRDefault="00F24FFC" w:rsidP="00E361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24FFC" w:rsidRPr="008B50B1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870CCAE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486B7D7B" w:rsidR="00F24FFC" w:rsidRPr="008B50B1" w:rsidRDefault="00E36125" w:rsidP="00E361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24FFC" w:rsidRPr="008B50B1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5132BCE8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5A307205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D45EBF6" w14:textId="77777777" w:rsidR="00923D7D" w:rsidRPr="008B50B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8B50B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4.2 </w:t>
      </w:r>
      <w:r w:rsidR="0085747A" w:rsidRPr="008B50B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8B50B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B50B1" w14:paraId="442B12DD" w14:textId="77777777" w:rsidTr="00923D7D">
        <w:tc>
          <w:tcPr>
            <w:tcW w:w="9670" w:type="dxa"/>
          </w:tcPr>
          <w:p w14:paraId="09CEE779" w14:textId="7B47565F" w:rsidR="007D6B5B" w:rsidRPr="008B50B1" w:rsidRDefault="00A82549" w:rsidP="00A82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D6B5B" w:rsidRPr="008B50B1">
              <w:rPr>
                <w:rFonts w:ascii="Corbel" w:hAnsi="Corbel"/>
                <w:b w:val="0"/>
                <w:smallCaps w:val="0"/>
                <w:szCs w:val="24"/>
              </w:rPr>
              <w:t>gzamin pisemny składający się z części opisowej (pytania problemowe) oraz  zadania na podstawie danych z GPW.</w:t>
            </w:r>
          </w:p>
          <w:p w14:paraId="54225531" w14:textId="547784CF" w:rsidR="0085747A" w:rsidRPr="008B50B1" w:rsidRDefault="007D6B5B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Warunkiem otrzymania  oceny 3,0 jest uzyskanie co najmniej 51% punktów składających się na w/w aktywności. </w:t>
            </w:r>
          </w:p>
        </w:tc>
      </w:tr>
    </w:tbl>
    <w:p w14:paraId="437F8EDD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8B50B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 xml:space="preserve">5. </w:t>
      </w:r>
      <w:r w:rsidR="00C61DC5" w:rsidRPr="008B50B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B50B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8B50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B50B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B50B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8B50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B50B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B50B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8B50B1" w14:paraId="41D7342E" w14:textId="77777777" w:rsidTr="00D45B17">
        <w:tc>
          <w:tcPr>
            <w:tcW w:w="4902" w:type="dxa"/>
          </w:tcPr>
          <w:p w14:paraId="336857A1" w14:textId="42954F68" w:rsidR="00D45B17" w:rsidRPr="008B50B1" w:rsidRDefault="00D45B17" w:rsidP="00670F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vAlign w:val="center"/>
          </w:tcPr>
          <w:p w14:paraId="44F68EF5" w14:textId="0FDE7EED" w:rsidR="00D45B17" w:rsidRPr="008B50B1" w:rsidRDefault="00A33C6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45B17" w:rsidRPr="008B50B1" w14:paraId="14748C99" w14:textId="77777777" w:rsidTr="00D45B17">
        <w:tc>
          <w:tcPr>
            <w:tcW w:w="4902" w:type="dxa"/>
          </w:tcPr>
          <w:p w14:paraId="77F9A71E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8B50B1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8B50B1" w14:paraId="41367D30" w14:textId="77777777" w:rsidTr="00D45B17">
        <w:tc>
          <w:tcPr>
            <w:tcW w:w="4902" w:type="dxa"/>
          </w:tcPr>
          <w:p w14:paraId="4F573F09" w14:textId="42C4E3DC" w:rsidR="00D45B17" w:rsidRPr="008B50B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Godziny niekontaktowe – praca własna studenta (egzaminu</w:t>
            </w:r>
            <w:r w:rsidR="00CE66EE" w:rsidRPr="008B50B1">
              <w:rPr>
                <w:rFonts w:ascii="Corbel" w:hAnsi="Corbel"/>
                <w:sz w:val="24"/>
                <w:szCs w:val="24"/>
              </w:rPr>
              <w:t xml:space="preserve"> - </w:t>
            </w:r>
            <w:r w:rsidR="008B50B1" w:rsidRPr="008B50B1">
              <w:rPr>
                <w:rFonts w:ascii="Corbel" w:hAnsi="Corbel"/>
                <w:sz w:val="24"/>
                <w:szCs w:val="24"/>
              </w:rPr>
              <w:t>3</w:t>
            </w:r>
            <w:r w:rsidR="00A33C63">
              <w:rPr>
                <w:rFonts w:ascii="Corbel" w:hAnsi="Corbel"/>
                <w:sz w:val="24"/>
                <w:szCs w:val="24"/>
              </w:rPr>
              <w:t>1</w:t>
            </w:r>
            <w:r w:rsidRPr="008B50B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01A2FF8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3</w:t>
            </w:r>
            <w:r w:rsidR="00A33C6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45B17" w:rsidRPr="008B50B1" w14:paraId="45A3E8D7" w14:textId="77777777" w:rsidTr="00D45B17">
        <w:tc>
          <w:tcPr>
            <w:tcW w:w="4902" w:type="dxa"/>
          </w:tcPr>
          <w:p w14:paraId="626D78EC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6DD7037F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8B50B1" w14:paraId="761AF2EE" w14:textId="77777777" w:rsidTr="00D45B17">
        <w:tc>
          <w:tcPr>
            <w:tcW w:w="4902" w:type="dxa"/>
          </w:tcPr>
          <w:p w14:paraId="3C28658F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6E3766E3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8B50B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B50B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B50B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8B50B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6. </w:t>
      </w:r>
      <w:r w:rsidR="0085747A" w:rsidRPr="008B50B1">
        <w:rPr>
          <w:rFonts w:ascii="Corbel" w:hAnsi="Corbel"/>
          <w:smallCaps w:val="0"/>
          <w:szCs w:val="24"/>
        </w:rPr>
        <w:t>PRAKTYKI ZAWO</w:t>
      </w:r>
      <w:r w:rsidR="009D3F3B" w:rsidRPr="008B50B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B50B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8B50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8B50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B50B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8B50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8B50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8B50B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8B50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7. </w:t>
      </w:r>
      <w:r w:rsidR="0085747A" w:rsidRPr="008B50B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8B50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B50B1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8B50B1" w:rsidRDefault="0085747A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70D9AD1" w14:textId="77777777" w:rsidR="007D6B5B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Sopoćko A., Rynkowe instrumenty finansowe, PWN, Warszawa 2010.</w:t>
            </w:r>
          </w:p>
          <w:p w14:paraId="311200CB" w14:textId="5D7C8663" w:rsidR="007D6B5B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Bartkowiak M., Echaust K., Instrumenty pochodne : wprowadzenie do inżynierii finansowej Uniwersytet Ekonomiczny w Poznaniu. - Wyd. 2 zm. - Poznań : Wydawnictwo Uniwersytetu Ekonomicznego, 2019. </w:t>
            </w:r>
          </w:p>
          <w:p w14:paraId="50F2B9B2" w14:textId="10D0B08E" w:rsidR="00D45B17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Grzywacz J. (red.), Finansowe instrumenty pochodne, Oficyna Wydawnicza SGH, Warszawa 2009.</w:t>
            </w:r>
          </w:p>
        </w:tc>
      </w:tr>
      <w:tr w:rsidR="0085747A" w:rsidRPr="008B50B1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8B50B1" w:rsidRDefault="0085747A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52068613" w14:textId="77777777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Fałat-Kilijańska I., Karwowski J., Poskart R., Instrumenty pochodne na międzynarodowych rynkach finansowych (wybrane zagadnienia). Teoria i przykłady, Wydawnictwo Uniwersytetu Opolskiego, Opole 2014.</w:t>
            </w:r>
          </w:p>
          <w:p w14:paraId="63B02DEC" w14:textId="77777777" w:rsidR="00D45B17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Morawska H., Truszkowski J, Finansowe instrumenty pochodne. Ryzyko, wycena i strategie, Wydawnictwo Uniwersytetu Ekonomicznego w Poznaniu, Poznań 2009.</w:t>
            </w:r>
          </w:p>
          <w:p w14:paraId="51548A2B" w14:textId="77777777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Majewska A., Instrumenty pochodne jako narzędzia wspomagające zarządzanie ryzykiem w przedsiębiorstwie, Szczecin : Volumina.pl Daniel Krzanowski, 2013.</w:t>
            </w:r>
          </w:p>
          <w:p w14:paraId="1F17CF12" w14:textId="7EC07F79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Fałat</w:t>
            </w:r>
            <w:r w:rsidR="008B50B1"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</w:t>
            </w: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Kiliańska i in., Instrumenty pochodne rozliczane w sposób scentralizowany : czy derywaty mogą być bezpieczniejsze?, Warszawa : Polskie Wydawnictwo Ekonomiczne, cop. 2017. </w:t>
            </w:r>
          </w:p>
        </w:tc>
      </w:tr>
    </w:tbl>
    <w:p w14:paraId="2ADA5742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B50B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55613B" w14:textId="77777777" w:rsidR="0075757C" w:rsidRDefault="0075757C" w:rsidP="00C16ABF">
      <w:pPr>
        <w:spacing w:after="0" w:line="240" w:lineRule="auto"/>
      </w:pPr>
      <w:r>
        <w:separator/>
      </w:r>
    </w:p>
  </w:endnote>
  <w:endnote w:type="continuationSeparator" w:id="0">
    <w:p w14:paraId="3720CB5E" w14:textId="77777777" w:rsidR="0075757C" w:rsidRDefault="0075757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421FFD" w14:textId="77777777" w:rsidR="0075757C" w:rsidRDefault="0075757C" w:rsidP="00C16ABF">
      <w:pPr>
        <w:spacing w:after="0" w:line="240" w:lineRule="auto"/>
      </w:pPr>
      <w:r>
        <w:separator/>
      </w:r>
    </w:p>
  </w:footnote>
  <w:footnote w:type="continuationSeparator" w:id="0">
    <w:p w14:paraId="428FE082" w14:textId="77777777" w:rsidR="0075757C" w:rsidRDefault="0075757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271"/>
    <w:rsid w:val="00070214"/>
    <w:rsid w:val="00070ED6"/>
    <w:rsid w:val="000742DC"/>
    <w:rsid w:val="00084C12"/>
    <w:rsid w:val="000910F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6CA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0D2B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418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E4B07"/>
    <w:rsid w:val="003F205D"/>
    <w:rsid w:val="003F38C0"/>
    <w:rsid w:val="003F6E1D"/>
    <w:rsid w:val="00414E3C"/>
    <w:rsid w:val="0042244A"/>
    <w:rsid w:val="0042745A"/>
    <w:rsid w:val="00431D5C"/>
    <w:rsid w:val="00433B5D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133"/>
    <w:rsid w:val="004D5282"/>
    <w:rsid w:val="004E2DB3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221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0F0E"/>
    <w:rsid w:val="00671958"/>
    <w:rsid w:val="00675843"/>
    <w:rsid w:val="00696477"/>
    <w:rsid w:val="006B1F75"/>
    <w:rsid w:val="006B482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57C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B3733"/>
    <w:rsid w:val="007C3299"/>
    <w:rsid w:val="007C3BCC"/>
    <w:rsid w:val="007C4546"/>
    <w:rsid w:val="007D6B5B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50B1"/>
    <w:rsid w:val="008C0CC0"/>
    <w:rsid w:val="008C19A9"/>
    <w:rsid w:val="008C379D"/>
    <w:rsid w:val="008C5147"/>
    <w:rsid w:val="008C5359"/>
    <w:rsid w:val="008C5363"/>
    <w:rsid w:val="008D3DFB"/>
    <w:rsid w:val="008E40AC"/>
    <w:rsid w:val="008E64F4"/>
    <w:rsid w:val="008F12C9"/>
    <w:rsid w:val="008F43EC"/>
    <w:rsid w:val="008F6E29"/>
    <w:rsid w:val="00916188"/>
    <w:rsid w:val="00923D7D"/>
    <w:rsid w:val="00946B94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08E"/>
    <w:rsid w:val="00A00ECC"/>
    <w:rsid w:val="00A155EE"/>
    <w:rsid w:val="00A2245B"/>
    <w:rsid w:val="00A245B2"/>
    <w:rsid w:val="00A30110"/>
    <w:rsid w:val="00A33C63"/>
    <w:rsid w:val="00A36899"/>
    <w:rsid w:val="00A371F6"/>
    <w:rsid w:val="00A43BF6"/>
    <w:rsid w:val="00A53FA5"/>
    <w:rsid w:val="00A54817"/>
    <w:rsid w:val="00A601C8"/>
    <w:rsid w:val="00A60799"/>
    <w:rsid w:val="00A72417"/>
    <w:rsid w:val="00A82549"/>
    <w:rsid w:val="00A82F66"/>
    <w:rsid w:val="00A84C85"/>
    <w:rsid w:val="00A94D1B"/>
    <w:rsid w:val="00A97DE1"/>
    <w:rsid w:val="00AB053C"/>
    <w:rsid w:val="00AB428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57E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E69"/>
    <w:rsid w:val="00C36992"/>
    <w:rsid w:val="00C41B9B"/>
    <w:rsid w:val="00C44685"/>
    <w:rsid w:val="00C56036"/>
    <w:rsid w:val="00C61DC5"/>
    <w:rsid w:val="00C67E92"/>
    <w:rsid w:val="00C70A26"/>
    <w:rsid w:val="00C718FF"/>
    <w:rsid w:val="00C766DF"/>
    <w:rsid w:val="00C816A6"/>
    <w:rsid w:val="00C94B98"/>
    <w:rsid w:val="00CA2B96"/>
    <w:rsid w:val="00CA38EA"/>
    <w:rsid w:val="00CA5089"/>
    <w:rsid w:val="00CA56E5"/>
    <w:rsid w:val="00CC05C8"/>
    <w:rsid w:val="00CD3A4A"/>
    <w:rsid w:val="00CD6897"/>
    <w:rsid w:val="00CE5BAC"/>
    <w:rsid w:val="00CE66EE"/>
    <w:rsid w:val="00CF25BE"/>
    <w:rsid w:val="00CF78ED"/>
    <w:rsid w:val="00CF7E96"/>
    <w:rsid w:val="00D02B25"/>
    <w:rsid w:val="00D02EBA"/>
    <w:rsid w:val="00D17C3C"/>
    <w:rsid w:val="00D26B2C"/>
    <w:rsid w:val="00D352C9"/>
    <w:rsid w:val="00D425B2"/>
    <w:rsid w:val="00D428D6"/>
    <w:rsid w:val="00D45B17"/>
    <w:rsid w:val="00D46F4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3D1F"/>
    <w:rsid w:val="00E36125"/>
    <w:rsid w:val="00E51E44"/>
    <w:rsid w:val="00E5765E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0F2"/>
    <w:rsid w:val="00F061E0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599C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4435310-4BF7-4AC3-BE3F-2B67D53E7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1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6D89B-5F11-4D11-96DE-A1DF8D4FF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913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2021-02-01T10:35:00Z</dcterms:created>
  <dcterms:modified xsi:type="dcterms:W3CDTF">2024-07-26T11:53:00Z</dcterms:modified>
</cp:coreProperties>
</file>