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0F939756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9F5B40">
        <w:rPr>
          <w:rFonts w:ascii="Corbel" w:hAnsi="Corbel" w:cs="Corbel"/>
          <w:b/>
          <w:bCs/>
          <w:smallCaps/>
        </w:rPr>
        <w:t>202</w:t>
      </w:r>
      <w:r w:rsidR="00E72DA4">
        <w:rPr>
          <w:rFonts w:ascii="Corbel" w:hAnsi="Corbel" w:cs="Corbel"/>
          <w:b/>
          <w:bCs/>
          <w:smallCaps/>
        </w:rPr>
        <w:t>1</w:t>
      </w:r>
      <w:r w:rsidRPr="009F5B40">
        <w:rPr>
          <w:rFonts w:ascii="Corbel" w:hAnsi="Corbel" w:cs="Corbel"/>
          <w:b/>
          <w:bCs/>
          <w:smallCaps/>
        </w:rPr>
        <w:t>-202</w:t>
      </w:r>
      <w:r w:rsidR="00E72DA4">
        <w:rPr>
          <w:rFonts w:ascii="Corbel" w:hAnsi="Corbel" w:cs="Corbel"/>
          <w:b/>
          <w:bCs/>
          <w:smallCaps/>
        </w:rPr>
        <w:t>4</w:t>
      </w:r>
      <w:r w:rsidRPr="000D3AB4">
        <w:rPr>
          <w:rFonts w:ascii="Corbel" w:hAnsi="Corbel" w:cs="Corbel"/>
          <w:i/>
          <w:iCs/>
          <w:smallCaps/>
        </w:rPr>
        <w:t xml:space="preserve"> </w:t>
      </w:r>
    </w:p>
    <w:p w14:paraId="0F306B20" w14:textId="4F0F13F5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E72DA4">
        <w:rPr>
          <w:rFonts w:ascii="Corbel" w:hAnsi="Corbel" w:cs="Corbel"/>
          <w:sz w:val="20"/>
          <w:szCs w:val="20"/>
        </w:rPr>
        <w:t>2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E72DA4">
        <w:rPr>
          <w:rFonts w:ascii="Corbel" w:hAnsi="Corbel" w:cs="Corbel"/>
          <w:sz w:val="20"/>
          <w:szCs w:val="20"/>
        </w:rPr>
        <w:t>3</w:t>
      </w:r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1AFF">
              <w:rPr>
                <w:rFonts w:ascii="Corbel" w:hAnsi="Corbel" w:cs="Corbel"/>
              </w:rPr>
              <w:t>FiR/I/FiB/C-1.4b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8345AC8" w:rsidR="00F96105" w:rsidRPr="00BC1AFF" w:rsidRDefault="00194A26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C81A1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3313EAD7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718F4F42" w14:textId="0BAFBC98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papierów wartościowych. Pomiar efektywności portfela papierów wartościowych. </w:t>
            </w:r>
            <w:r w:rsidRPr="00C81A1F">
              <w:rPr>
                <w:rFonts w:ascii="Corbel" w:hAnsi="Corbel" w:cs="Corbel"/>
                <w:i/>
                <w:iCs/>
              </w:rPr>
              <w:t>Credit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r w:rsidRPr="00C81A1F">
              <w:rPr>
                <w:rFonts w:ascii="Corbel" w:hAnsi="Corbel" w:cs="Corbel"/>
                <w:i/>
                <w:iCs/>
              </w:rPr>
              <w:t>Forward. Future.</w:t>
            </w:r>
            <w:r w:rsidRPr="00C81A1F">
              <w:rPr>
                <w:rFonts w:ascii="Corbel" w:hAnsi="Corbel" w:cs="Corbel"/>
              </w:rPr>
              <w:t xml:space="preserve"> Swap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(VaR).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3EAFB028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553A6ED2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Koleśnik J. (red.), Bankowość detaliczna, Difin,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Zaleska M. (red.), Bankowość bez tajemnic, Difin,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Iwonicz-Drozdowska (i in.), Bankowość: instytucje, operacje, zarządzanie, Poltext,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94A26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675795"/>
    <w:rsid w:val="0083242D"/>
    <w:rsid w:val="009C54AE"/>
    <w:rsid w:val="009F5B40"/>
    <w:rsid w:val="00B16566"/>
    <w:rsid w:val="00BC1AFF"/>
    <w:rsid w:val="00C81A1F"/>
    <w:rsid w:val="00CA6B58"/>
    <w:rsid w:val="00CE1E79"/>
    <w:rsid w:val="00DE617B"/>
    <w:rsid w:val="00E72DA4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Ewelina Rabiej</cp:lastModifiedBy>
  <cp:revision>11</cp:revision>
  <dcterms:created xsi:type="dcterms:W3CDTF">2021-01-31T21:42:00Z</dcterms:created>
  <dcterms:modified xsi:type="dcterms:W3CDTF">2021-11-03T17:19:00Z</dcterms:modified>
</cp:coreProperties>
</file>