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74C96A3B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8A3899">
        <w:rPr>
          <w:rFonts w:ascii="Corbel" w:hAnsi="Corbel"/>
          <w:iCs/>
          <w:smallCaps/>
          <w:color w:val="000000" w:themeColor="text1"/>
          <w:sz w:val="24"/>
          <w:szCs w:val="24"/>
        </w:rPr>
        <w:t>202</w:t>
      </w:r>
      <w:r w:rsidR="00751916">
        <w:rPr>
          <w:rFonts w:ascii="Corbel" w:hAnsi="Corbel"/>
          <w:iCs/>
          <w:smallCaps/>
          <w:color w:val="000000" w:themeColor="text1"/>
          <w:sz w:val="24"/>
          <w:szCs w:val="24"/>
        </w:rPr>
        <w:t>1</w:t>
      </w:r>
      <w:r w:rsidR="00DC6D0C" w:rsidRPr="008A3899">
        <w:rPr>
          <w:rFonts w:ascii="Corbel" w:hAnsi="Corbel"/>
          <w:iCs/>
          <w:smallCaps/>
          <w:color w:val="000000" w:themeColor="text1"/>
          <w:sz w:val="24"/>
          <w:szCs w:val="24"/>
        </w:rPr>
        <w:t>-202</w:t>
      </w:r>
      <w:r w:rsidR="00751916">
        <w:rPr>
          <w:rFonts w:ascii="Corbel" w:hAnsi="Corbel"/>
          <w:iCs/>
          <w:smallCaps/>
          <w:color w:val="000000" w:themeColor="text1"/>
          <w:sz w:val="24"/>
          <w:szCs w:val="24"/>
        </w:rPr>
        <w:t>4</w:t>
      </w:r>
      <w:r w:rsidR="00DC6D0C" w:rsidRPr="008C7B12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</w:p>
    <w:p w14:paraId="6A743604" w14:textId="4CD70D49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EA55BE">
        <w:rPr>
          <w:rFonts w:ascii="Corbel" w:hAnsi="Corbel"/>
          <w:sz w:val="20"/>
          <w:szCs w:val="20"/>
        </w:rPr>
        <w:t>202</w:t>
      </w:r>
      <w:r w:rsidR="00751916">
        <w:rPr>
          <w:rFonts w:ascii="Corbel" w:hAnsi="Corbel"/>
          <w:sz w:val="20"/>
          <w:szCs w:val="20"/>
        </w:rPr>
        <w:t>3</w:t>
      </w:r>
      <w:r w:rsidR="00DF6D46">
        <w:rPr>
          <w:rFonts w:ascii="Corbel" w:hAnsi="Corbel"/>
          <w:sz w:val="20"/>
          <w:szCs w:val="20"/>
        </w:rPr>
        <w:t>/202</w:t>
      </w:r>
      <w:r w:rsidR="00751916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71E822BF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47537D3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behawioralne</w:t>
            </w:r>
          </w:p>
        </w:tc>
      </w:tr>
      <w:tr w:rsidR="0085747A" w:rsidRPr="009C54AE" w14:paraId="506999EA" w14:textId="77777777" w:rsidTr="71E822BF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55EA8EC" w:rsidR="0085747A" w:rsidRPr="009C54AE" w:rsidRDefault="006349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49D3">
              <w:rPr>
                <w:rFonts w:ascii="Corbel" w:hAnsi="Corbel"/>
                <w:b w:val="0"/>
                <w:sz w:val="24"/>
                <w:szCs w:val="24"/>
              </w:rPr>
              <w:t>FiRIFiBC-1.8b</w:t>
            </w:r>
          </w:p>
        </w:tc>
      </w:tr>
      <w:tr w:rsidR="0085747A" w:rsidRPr="009C54AE" w14:paraId="4D7811D2" w14:textId="77777777" w:rsidTr="71E822BF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71E822BF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C2CD83F" w:rsidR="0085747A" w:rsidRPr="009C54AE" w:rsidRDefault="00DF6D46" w:rsidP="71E822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1E822B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71E822BF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6F3CEDB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A3899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71E822BF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E5DCDCF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71E822BF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71E822BF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E211EF6" w:rsidR="0085747A" w:rsidRPr="009C54AE" w:rsidRDefault="008F2E26" w:rsidP="008F2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71E822BF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297716B" w:rsidR="0085747A" w:rsidRPr="009C54AE" w:rsidRDefault="008C7B12" w:rsidP="008C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B84D23">
              <w:rPr>
                <w:rFonts w:ascii="Corbel" w:hAnsi="Corbel"/>
                <w:b w:val="0"/>
                <w:sz w:val="24"/>
                <w:szCs w:val="24"/>
              </w:rPr>
              <w:t>I/ 6</w:t>
            </w:r>
          </w:p>
        </w:tc>
      </w:tr>
      <w:tr w:rsidR="0085747A" w:rsidRPr="009C54AE" w14:paraId="4F3F54D3" w14:textId="77777777" w:rsidTr="71E822BF">
        <w:trPr>
          <w:trHeight w:val="70"/>
        </w:trPr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671EE24" w:rsidR="0085747A" w:rsidRPr="009C54AE" w:rsidRDefault="00DF6D46" w:rsidP="00DF6D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A5791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B84D23">
              <w:rPr>
                <w:rFonts w:ascii="Corbel" w:hAnsi="Corbel"/>
                <w:b w:val="0"/>
                <w:sz w:val="24"/>
                <w:szCs w:val="24"/>
              </w:rPr>
              <w:t xml:space="preserve"> do wyboru </w:t>
            </w:r>
          </w:p>
        </w:tc>
      </w:tr>
      <w:tr w:rsidR="00923D7D" w:rsidRPr="009C54AE" w14:paraId="5B7A417E" w14:textId="77777777" w:rsidTr="71E822BF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71E822BF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8E2D6DB" w:rsidR="0085747A" w:rsidRPr="009C54AE" w:rsidRDefault="00DF6D46" w:rsidP="00DF6D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C7B12">
              <w:rPr>
                <w:rFonts w:ascii="Corbel" w:hAnsi="Corbel"/>
                <w:b w:val="0"/>
                <w:sz w:val="24"/>
                <w:szCs w:val="24"/>
              </w:rPr>
              <w:t>r hab. Tomasz Potocki, prof. UR</w:t>
            </w:r>
          </w:p>
        </w:tc>
      </w:tr>
      <w:tr w:rsidR="0085747A" w:rsidRPr="009C54AE" w14:paraId="57276881" w14:textId="77777777" w:rsidTr="71E822BF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E0DA127" w:rsidR="0085747A" w:rsidRPr="009C54AE" w:rsidRDefault="00DF6D46" w:rsidP="00DF6D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C7B12">
              <w:rPr>
                <w:rFonts w:ascii="Corbel" w:hAnsi="Corbel"/>
                <w:b w:val="0"/>
                <w:sz w:val="24"/>
                <w:szCs w:val="24"/>
              </w:rPr>
              <w:t>r hab. Tomasz Potocki, prof. UR</w:t>
            </w:r>
          </w:p>
        </w:tc>
      </w:tr>
    </w:tbl>
    <w:p w14:paraId="1DE0F9B4" w14:textId="0F570C3E" w:rsidR="0085747A" w:rsidRPr="009C54AE" w:rsidRDefault="0085747A" w:rsidP="00DF6D46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822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8A389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2AF2791E" w:rsidR="00015B8F" w:rsidRPr="009C54AE" w:rsidRDefault="00B84D23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3D671F4" w:rsidR="00015B8F" w:rsidRPr="009C54AE" w:rsidRDefault="00282269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F8100C2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047DE44" w:rsidR="00015B8F" w:rsidRPr="009C54AE" w:rsidRDefault="00282269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BF4551" w14:textId="497BC402" w:rsidR="00DF6D46" w:rsidRPr="008A3899" w:rsidRDefault="00DF6D46" w:rsidP="00DF6D46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8A3899">
        <w:rPr>
          <w:rFonts w:ascii="MS Gothic" w:eastAsia="MS Gothic" w:hAnsi="MS Gothic" w:cs="MS Gothic" w:hint="eastAsia"/>
          <w:b w:val="0"/>
          <w:bCs/>
          <w:smallCaps w:val="0"/>
          <w:szCs w:val="24"/>
        </w:rPr>
        <w:t>☑</w:t>
      </w:r>
      <w:r w:rsidRPr="008A3899">
        <w:rPr>
          <w:rFonts w:ascii="Corbel" w:hAnsi="Corbel"/>
          <w:b w:val="0"/>
          <w:bCs/>
          <w:smallCaps w:val="0"/>
          <w:szCs w:val="24"/>
        </w:rPr>
        <w:t>zajęcia w formie tradycyjnej lub z wykorzystaniem platformy Ms Teams</w:t>
      </w:r>
    </w:p>
    <w:p w14:paraId="76105CBE" w14:textId="34D30C65" w:rsidR="00DF6D46" w:rsidRPr="008A3899" w:rsidRDefault="00DF6D46" w:rsidP="00DF6D4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8A3899">
        <w:rPr>
          <w:rFonts w:ascii="Corbel" w:eastAsia="MS Gothic" w:hAnsi="Corbel" w:cs="MS Gothic" w:hint="eastAsia"/>
          <w:b w:val="0"/>
          <w:bCs/>
          <w:smallCaps w:val="0"/>
          <w:szCs w:val="24"/>
        </w:rPr>
        <w:t>☐</w:t>
      </w:r>
      <w:r w:rsidRPr="008A3899">
        <w:rPr>
          <w:rFonts w:ascii="Corbel" w:hAnsi="Corbel"/>
          <w:b w:val="0"/>
          <w:bCs/>
          <w:smallCaps w:val="0"/>
          <w:szCs w:val="24"/>
        </w:rPr>
        <w:t xml:space="preserve"> zajęcia realizowane z wykorzystaniem metod i technik kształcenia na odległość</w:t>
      </w:r>
    </w:p>
    <w:p w14:paraId="6CC2D4D0" w14:textId="77777777" w:rsidR="00DF6D46" w:rsidRDefault="00DF6D4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96A85" w14:textId="4E30FA37" w:rsidR="00282269" w:rsidRDefault="00DB042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– zaliczenie bez oceny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0A470D0" w:rsidR="0085747A" w:rsidRPr="00EC635D" w:rsidRDefault="00EC635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63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mikroekonomii. Znajomość podstawowych instrumentów rynku finansowego.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C635D" w:rsidRPr="009C54AE" w14:paraId="1D38D5E6" w14:textId="77777777" w:rsidTr="00EC635D">
        <w:tc>
          <w:tcPr>
            <w:tcW w:w="845" w:type="dxa"/>
            <w:vAlign w:val="center"/>
          </w:tcPr>
          <w:p w14:paraId="4B62A855" w14:textId="1ADEC97F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6FE4D417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Zaznajomienie studentów z podstawowymi pojęciami, prawami i narzędziami finansów behawioralnych oraz skonfrontowanie ich z głównymi teoriami finansów (m.in. efektywności informacyjnej rynków finansowych)</w:t>
            </w:r>
          </w:p>
        </w:tc>
      </w:tr>
      <w:tr w:rsidR="00EC635D" w:rsidRPr="009C54AE" w14:paraId="2547E272" w14:textId="77777777" w:rsidTr="00EC635D">
        <w:tc>
          <w:tcPr>
            <w:tcW w:w="845" w:type="dxa"/>
            <w:vAlign w:val="center"/>
          </w:tcPr>
          <w:p w14:paraId="28729CF7" w14:textId="584A3CDD" w:rsidR="00EC635D" w:rsidRPr="00EC635D" w:rsidRDefault="00EC635D" w:rsidP="00EC635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635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330DDB21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 xml:space="preserve">Rozpoznanie przez studentów psychologicznych uwarunkowań procesu podejmowania decyzji i głównych pułapek psychologicznych </w:t>
            </w:r>
          </w:p>
        </w:tc>
      </w:tr>
      <w:tr w:rsidR="00EC635D" w:rsidRPr="009C54AE" w14:paraId="0DF48945" w14:textId="77777777" w:rsidTr="00EC635D">
        <w:tc>
          <w:tcPr>
            <w:tcW w:w="845" w:type="dxa"/>
            <w:vAlign w:val="center"/>
          </w:tcPr>
          <w:p w14:paraId="51C70595" w14:textId="47C0266F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318F3E7A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Zapoznanie słuchaczy z przykładami wykorzystania teorii finansów behawioralnych w rozwoju teorii rynków finansowych, jak również modyfikacji paradygmatu finansów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C635D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C635D" w:rsidRPr="009C54AE" w14:paraId="777961BE" w14:textId="77777777" w:rsidTr="00A65C1A">
        <w:tc>
          <w:tcPr>
            <w:tcW w:w="1681" w:type="dxa"/>
          </w:tcPr>
          <w:p w14:paraId="2F423852" w14:textId="67354CC9" w:rsidR="00EC635D" w:rsidRPr="009C54AE" w:rsidRDefault="00EC635D" w:rsidP="00A65C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1A776980" w14:textId="1644D75E" w:rsidR="00EC635D" w:rsidRPr="009C54AE" w:rsidRDefault="00EC635D" w:rsidP="00A65C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635D">
              <w:rPr>
                <w:rFonts w:ascii="Corbel" w:hAnsi="Corbel"/>
                <w:b w:val="0"/>
                <w:smallCaps w:val="0"/>
                <w:szCs w:val="24"/>
              </w:rPr>
              <w:t>Objaśnia podstawowe koncepcje z zakresu finansów behawioralnych w zakresie ich znaczenia dla rynku finansowego</w:t>
            </w:r>
          </w:p>
        </w:tc>
        <w:tc>
          <w:tcPr>
            <w:tcW w:w="1865" w:type="dxa"/>
          </w:tcPr>
          <w:p w14:paraId="72170074" w14:textId="72F96F3A" w:rsidR="00EC635D" w:rsidRPr="009C54AE" w:rsidRDefault="00EC635D" w:rsidP="00DF6D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EC635D" w:rsidRPr="009C54AE" w14:paraId="48B116A6" w14:textId="77777777" w:rsidTr="00EC635D">
        <w:tc>
          <w:tcPr>
            <w:tcW w:w="1681" w:type="dxa"/>
          </w:tcPr>
          <w:p w14:paraId="55D5A65C" w14:textId="5BB99AC2" w:rsidR="00EC635D" w:rsidRPr="009C54AE" w:rsidRDefault="00EC635D" w:rsidP="00EC63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0E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7A72DA91" w:rsidR="00EC635D" w:rsidRPr="009C54AE" w:rsidRDefault="00EC635D" w:rsidP="00EC63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0E7">
              <w:rPr>
                <w:rFonts w:ascii="Corbel" w:hAnsi="Corbel"/>
                <w:b w:val="0"/>
                <w:smallCaps w:val="0"/>
                <w:szCs w:val="24"/>
              </w:rPr>
              <w:t xml:space="preserve">Identyfikuje i analizuje behawioralne uwarunkowania decyzji inwestycyjnych </w:t>
            </w:r>
          </w:p>
        </w:tc>
        <w:tc>
          <w:tcPr>
            <w:tcW w:w="1865" w:type="dxa"/>
          </w:tcPr>
          <w:p w14:paraId="656E048A" w14:textId="2337E191" w:rsidR="00EC635D" w:rsidRPr="00EC635D" w:rsidRDefault="00EC635D" w:rsidP="00DF6D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635D">
              <w:rPr>
                <w:rFonts w:ascii="Corbel" w:hAnsi="Corbel"/>
                <w:b w:val="0"/>
                <w:szCs w:val="24"/>
              </w:rPr>
              <w:t>K_W09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7E71A7A" w14:textId="77777777" w:rsidR="00DF6D46" w:rsidRPr="009C54AE" w:rsidRDefault="00DF6D4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2285" w:rsidRPr="00BF5FA5" w14:paraId="686272FD" w14:textId="77777777" w:rsidTr="004A2285">
        <w:tc>
          <w:tcPr>
            <w:tcW w:w="9520" w:type="dxa"/>
          </w:tcPr>
          <w:p w14:paraId="3950B5FD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2285" w:rsidRPr="00BF5FA5" w14:paraId="4C526A59" w14:textId="77777777" w:rsidTr="004A2285">
        <w:tc>
          <w:tcPr>
            <w:tcW w:w="9520" w:type="dxa"/>
          </w:tcPr>
          <w:p w14:paraId="079CCA02" w14:textId="341DD798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racjonalności decyzji</w:t>
            </w:r>
          </w:p>
          <w:p w14:paraId="24FE56BE" w14:textId="3CFF850D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BF5FA5">
              <w:rPr>
                <w:rFonts w:ascii="Corbel" w:hAnsi="Corbel"/>
                <w:sz w:val="24"/>
                <w:szCs w:val="24"/>
              </w:rPr>
              <w:t>konomia głównego nurtu a ekonomia behawioralna</w:t>
            </w:r>
            <w:r>
              <w:rPr>
                <w:rFonts w:ascii="Corbel" w:hAnsi="Corbel"/>
                <w:sz w:val="24"/>
                <w:szCs w:val="24"/>
              </w:rPr>
              <w:t>, problem racjonalności decyzji, paradygmat racjonalności, racjonal</w:t>
            </w:r>
            <w:r w:rsidR="003D1C0B">
              <w:rPr>
                <w:rFonts w:ascii="Corbel" w:hAnsi="Corbel"/>
                <w:sz w:val="24"/>
                <w:szCs w:val="24"/>
              </w:rPr>
              <w:t>ność ograniczona i adaptacyjna, g</w:t>
            </w:r>
            <w:r w:rsidR="003D1C0B" w:rsidRPr="00BF5FA5">
              <w:rPr>
                <w:rFonts w:ascii="Corbel" w:hAnsi="Corbel"/>
                <w:sz w:val="24"/>
                <w:szCs w:val="24"/>
              </w:rPr>
              <w:t>eneza i obszary badawcze ekonomii behawioralnej</w:t>
            </w:r>
          </w:p>
        </w:tc>
      </w:tr>
      <w:tr w:rsidR="004A2285" w:rsidRPr="00BF5FA5" w14:paraId="6ED81A63" w14:textId="77777777" w:rsidTr="004A2285">
        <w:tc>
          <w:tcPr>
            <w:tcW w:w="9520" w:type="dxa"/>
          </w:tcPr>
          <w:p w14:paraId="51448CFF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Ograniczona racjonalność a proces podejmowania decyzji.</w:t>
            </w:r>
          </w:p>
          <w:p w14:paraId="4DE1E9ED" w14:textId="78F803E0" w:rsidR="004A2285" w:rsidRPr="00BF5FA5" w:rsidRDefault="003D1C0B" w:rsidP="003D1C0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Definiowanie racjonalności, </w:t>
            </w:r>
            <w:r w:rsidR="004A2285" w:rsidRPr="00BF5FA5">
              <w:rPr>
                <w:rFonts w:ascii="Corbel" w:hAnsi="Corbel"/>
                <w:sz w:val="24"/>
                <w:szCs w:val="24"/>
              </w:rPr>
              <w:t xml:space="preserve">paradoksy racjonalności, podstawowe heurystyki podejmowania decyzji (heurystyki reprezentatywności, dostępności, kotwiczenia, afektu), znaczenie emocji dla decyzji ekonomicznych. Czynnik czasu w decyzjach ekonomicznych. </w:t>
            </w:r>
          </w:p>
        </w:tc>
      </w:tr>
      <w:tr w:rsidR="003D1C0B" w:rsidRPr="009C54AE" w14:paraId="64902F7B" w14:textId="77777777" w:rsidTr="000456F3">
        <w:tc>
          <w:tcPr>
            <w:tcW w:w="9520" w:type="dxa"/>
          </w:tcPr>
          <w:p w14:paraId="4BC49CB3" w14:textId="77777777" w:rsidR="003D1C0B" w:rsidRPr="00BF5FA5" w:rsidRDefault="003D1C0B" w:rsidP="000456F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Zachowania inwestorów na rynku finansowym.</w:t>
            </w:r>
          </w:p>
          <w:p w14:paraId="50BC5831" w14:textId="4CAAD4E7" w:rsidR="003D1C0B" w:rsidRPr="009C54AE" w:rsidRDefault="003D1C0B" w:rsidP="000456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informacyjna, Anomalnie rynkowe (m</w:t>
            </w:r>
            <w:r w:rsidRPr="00BF5FA5">
              <w:rPr>
                <w:rFonts w:ascii="Corbel" w:hAnsi="Corbel"/>
                <w:sz w:val="24"/>
                <w:szCs w:val="24"/>
              </w:rPr>
              <w:t>otywacje inwestorów w perspektywie behawioralnej, poznawcze ograniczenia racjonalnych inwestycji, błędy i heurystyk</w:t>
            </w:r>
            <w:r>
              <w:rPr>
                <w:rFonts w:ascii="Corbel" w:hAnsi="Corbel"/>
                <w:sz w:val="24"/>
                <w:szCs w:val="24"/>
              </w:rPr>
              <w:t xml:space="preserve">i decyzyjne na rynku finansowym), wprowadzenie do inwestowania „czynnikowego” </w:t>
            </w:r>
          </w:p>
        </w:tc>
      </w:tr>
      <w:tr w:rsidR="004A2285" w:rsidRPr="00BF5FA5" w14:paraId="76D1B9B2" w14:textId="77777777" w:rsidTr="004A2285">
        <w:tc>
          <w:tcPr>
            <w:tcW w:w="9520" w:type="dxa"/>
          </w:tcPr>
          <w:p w14:paraId="73793A61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Rynek finansowy w podejściu behawioralnym.</w:t>
            </w:r>
          </w:p>
          <w:p w14:paraId="0CC1832B" w14:textId="4C654DE6" w:rsidR="004A2285" w:rsidRPr="00BF5FA5" w:rsidRDefault="004A2285" w:rsidP="003D1C0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 xml:space="preserve">Libertariański paternalizm, Fundusze cyklu życia, </w:t>
            </w:r>
            <w:r w:rsidR="003D1C0B">
              <w:rPr>
                <w:rFonts w:ascii="Corbel" w:hAnsi="Corbel"/>
                <w:sz w:val="24"/>
                <w:szCs w:val="24"/>
              </w:rPr>
              <w:t>Robodoradcy</w:t>
            </w:r>
          </w:p>
        </w:tc>
      </w:tr>
    </w:tbl>
    <w:p w14:paraId="733152FC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1FE3B3" w14:textId="42CBD0B3" w:rsidR="00FB62EE" w:rsidRPr="00BF5FA5" w:rsidRDefault="00FB62EE" w:rsidP="00FB62E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F5FA5">
        <w:rPr>
          <w:rFonts w:ascii="Corbel" w:hAnsi="Corbel"/>
          <w:b w:val="0"/>
          <w:smallCaps w:val="0"/>
          <w:szCs w:val="24"/>
        </w:rPr>
        <w:t>Wyk</w:t>
      </w:r>
      <w:r>
        <w:rPr>
          <w:rFonts w:ascii="Corbel" w:hAnsi="Corbel"/>
          <w:b w:val="0"/>
          <w:smallCaps w:val="0"/>
          <w:szCs w:val="24"/>
        </w:rPr>
        <w:t xml:space="preserve">ład z prezentacją multimedialną, problemowy. 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2E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B62EE" w:rsidRPr="009C54AE" w14:paraId="5FC256E6" w14:textId="77777777" w:rsidTr="00C25C7D">
        <w:tc>
          <w:tcPr>
            <w:tcW w:w="1962" w:type="dxa"/>
            <w:vAlign w:val="center"/>
          </w:tcPr>
          <w:p w14:paraId="1B521E17" w14:textId="02C70D54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38591A5E" w14:textId="784AAB30" w:rsidR="00FB62EE" w:rsidRPr="009C54AE" w:rsidRDefault="00DE3AB8" w:rsidP="00FB62E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B62EE">
              <w:rPr>
                <w:rFonts w:ascii="Corbel" w:hAnsi="Corbel"/>
                <w:b w:val="0"/>
                <w:smallCaps w:val="0"/>
                <w:szCs w:val="24"/>
              </w:rPr>
              <w:t>aliczenie końcowe</w:t>
            </w:r>
          </w:p>
        </w:tc>
        <w:tc>
          <w:tcPr>
            <w:tcW w:w="2117" w:type="dxa"/>
            <w:vAlign w:val="center"/>
          </w:tcPr>
          <w:p w14:paraId="4D5562F6" w14:textId="0AD85C49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</w:p>
        </w:tc>
      </w:tr>
      <w:tr w:rsidR="00FB62EE" w:rsidRPr="009C54AE" w14:paraId="3373BBE7" w14:textId="77777777" w:rsidTr="00C25C7D">
        <w:tc>
          <w:tcPr>
            <w:tcW w:w="1962" w:type="dxa"/>
            <w:vAlign w:val="center"/>
          </w:tcPr>
          <w:p w14:paraId="14F62925" w14:textId="00228B23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42952232" w14:textId="23C145E3" w:rsidR="00FB62EE" w:rsidRPr="009C54AE" w:rsidRDefault="00DE3AB8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końcowe</w:t>
            </w:r>
          </w:p>
        </w:tc>
        <w:tc>
          <w:tcPr>
            <w:tcW w:w="2117" w:type="dxa"/>
            <w:vAlign w:val="center"/>
          </w:tcPr>
          <w:p w14:paraId="6E4DA304" w14:textId="7D26B9B3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0F85CFF9" w14:textId="71ECC8FD" w:rsidR="00FF7F12" w:rsidRPr="00BF5FA5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Wykład:</w:t>
            </w:r>
          </w:p>
          <w:p w14:paraId="54225531" w14:textId="2928CA08" w:rsidR="0085747A" w:rsidRPr="009C54AE" w:rsidRDefault="00FF7F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 w formie pisemnej. 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F7F1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7F12" w:rsidRPr="009C54AE" w14:paraId="41D7342E" w14:textId="77777777" w:rsidTr="00FF7F12">
        <w:tc>
          <w:tcPr>
            <w:tcW w:w="4902" w:type="dxa"/>
          </w:tcPr>
          <w:p w14:paraId="336857A1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296264FE" w:rsidR="00FF7F12" w:rsidRPr="009C54AE" w:rsidRDefault="00DE3AB8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15</w:t>
            </w:r>
          </w:p>
        </w:tc>
      </w:tr>
      <w:tr w:rsidR="00FF7F12" w:rsidRPr="009C54AE" w14:paraId="14748C99" w14:textId="77777777" w:rsidTr="00FF7F12">
        <w:tc>
          <w:tcPr>
            <w:tcW w:w="4902" w:type="dxa"/>
          </w:tcPr>
          <w:p w14:paraId="77F9A71E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440B68E" w:rsidR="00FF7F12" w:rsidRPr="009C54AE" w:rsidRDefault="00FF7F12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1FCB">
              <w:t>4</w:t>
            </w:r>
          </w:p>
        </w:tc>
      </w:tr>
      <w:tr w:rsidR="00FF7F12" w:rsidRPr="009C54AE" w14:paraId="41367D30" w14:textId="77777777" w:rsidTr="00FF7F12">
        <w:tc>
          <w:tcPr>
            <w:tcW w:w="4902" w:type="dxa"/>
          </w:tcPr>
          <w:p w14:paraId="4F573F09" w14:textId="186DC254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 i zaliczenia końcowego). </w:t>
            </w:r>
          </w:p>
        </w:tc>
        <w:tc>
          <w:tcPr>
            <w:tcW w:w="4618" w:type="dxa"/>
          </w:tcPr>
          <w:p w14:paraId="611A18CE" w14:textId="452DA093" w:rsidR="00FF7F12" w:rsidRPr="009C54AE" w:rsidRDefault="00DE3AB8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31</w:t>
            </w:r>
          </w:p>
        </w:tc>
      </w:tr>
      <w:tr w:rsidR="00FF7F12" w:rsidRPr="009C54AE" w14:paraId="45A3E8D7" w14:textId="77777777" w:rsidTr="00FF7F12">
        <w:tc>
          <w:tcPr>
            <w:tcW w:w="4902" w:type="dxa"/>
          </w:tcPr>
          <w:p w14:paraId="626D78EC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DB7D789" w:rsidR="00FF7F12" w:rsidRPr="009C54AE" w:rsidRDefault="00FF7F12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5</w:t>
            </w:r>
            <w:r w:rsidRPr="000A1FCB">
              <w:t>0</w:t>
            </w:r>
          </w:p>
        </w:tc>
      </w:tr>
      <w:tr w:rsidR="00FF7F12" w:rsidRPr="009C54AE" w14:paraId="761AF2EE" w14:textId="77777777" w:rsidTr="00FF7F12">
        <w:tc>
          <w:tcPr>
            <w:tcW w:w="4902" w:type="dxa"/>
          </w:tcPr>
          <w:p w14:paraId="3C28658F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6A7B71FC" w:rsidR="00FF7F12" w:rsidRPr="009C54AE" w:rsidRDefault="00FF7F12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1FCB"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F6CBD2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9A214AE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szCs w:val="24"/>
              </w:rPr>
              <w:t>Tyszka T., Decyzje. Perspektywa psychologiczna i ekonomiczna, Scholar 2010</w:t>
            </w:r>
          </w:p>
          <w:p w14:paraId="1A002D02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Kahneman D. Pułapki myślenia. O myśleniu szybkim i wolnym, Media Rodzina, Warszawa, 2012</w:t>
            </w:r>
          </w:p>
          <w:p w14:paraId="13CB5862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Thaler, R. Zachowania niepoprawne. Tworzenie ekonomii behawioralnej, Media Rodzina, Warszawa, 2018</w:t>
            </w:r>
          </w:p>
          <w:p w14:paraId="0276078A" w14:textId="77777777" w:rsidR="00D61C4C" w:rsidRPr="00792A98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Zielonka, P. Behawioralne aspekty inwestowania na rynku papierów wartościowych, Cedewu, Warszawa, 2006.</w:t>
            </w:r>
          </w:p>
          <w:p w14:paraId="50F2B9B2" w14:textId="69ABC3B1" w:rsidR="00DE3AB8" w:rsidRPr="00792A98" w:rsidRDefault="00DE3AB8" w:rsidP="00792A98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792A98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Malkiel, B. Błądząc po Wall Street. Sprawdzona strategia skutecznego inwestowania, Wolters Kluwer 2014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65ACE0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714014D" w14:textId="79FE9CE5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>Czerwonka M., Gorlewski B., Finanse behawioralne: zachowania inwestorów i rynku, Oficyna Wydawnicza SGH, Warszawa 2012.</w:t>
            </w:r>
          </w:p>
          <w:p w14:paraId="1582AB76" w14:textId="37D5FA66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>Borowski K., Finanse behawioralne: modele, Wydawnictwo Difin, Warszawa 2014.</w:t>
            </w:r>
          </w:p>
          <w:p w14:paraId="50F88217" w14:textId="1BEAF85B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>Zaleśkiewicz T., Psychologia ekonomiczna, PWN, Warszawa 2011.</w:t>
            </w:r>
          </w:p>
          <w:p w14:paraId="1F17CF12" w14:textId="1A827DBB" w:rsidR="00D61C4C" w:rsidRPr="009C54AE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>Hens, T., Bachmann, K. Psychologia rynku dla doradców finansowych. Cedewu, Warszawa, 2010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6B347" w14:textId="77777777" w:rsidR="00FF42F9" w:rsidRDefault="00FF42F9" w:rsidP="00C16ABF">
      <w:pPr>
        <w:spacing w:after="0" w:line="240" w:lineRule="auto"/>
      </w:pPr>
      <w:r>
        <w:separator/>
      </w:r>
    </w:p>
  </w:endnote>
  <w:endnote w:type="continuationSeparator" w:id="0">
    <w:p w14:paraId="208A965B" w14:textId="77777777" w:rsidR="00FF42F9" w:rsidRDefault="00FF42F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B491E" w14:textId="77777777" w:rsidR="00FF42F9" w:rsidRDefault="00FF42F9" w:rsidP="00C16ABF">
      <w:pPr>
        <w:spacing w:after="0" w:line="240" w:lineRule="auto"/>
      </w:pPr>
      <w:r>
        <w:separator/>
      </w:r>
    </w:p>
  </w:footnote>
  <w:footnote w:type="continuationSeparator" w:id="0">
    <w:p w14:paraId="2D09C22C" w14:textId="77777777" w:rsidR="00FF42F9" w:rsidRDefault="00FF42F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B5A3F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F8B"/>
    <w:rsid w:val="001718A7"/>
    <w:rsid w:val="001737CF"/>
    <w:rsid w:val="0017512A"/>
    <w:rsid w:val="00176083"/>
    <w:rsid w:val="00182C9E"/>
    <w:rsid w:val="00183A29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2029"/>
    <w:rsid w:val="00281FF2"/>
    <w:rsid w:val="0028226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84D"/>
    <w:rsid w:val="002E7651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1C0B"/>
    <w:rsid w:val="003D6CE2"/>
    <w:rsid w:val="003E1704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2A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285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A05"/>
    <w:rsid w:val="005E6E85"/>
    <w:rsid w:val="005F31D2"/>
    <w:rsid w:val="0061029B"/>
    <w:rsid w:val="00617230"/>
    <w:rsid w:val="00621CE1"/>
    <w:rsid w:val="00627FC9"/>
    <w:rsid w:val="006349D3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9FE"/>
    <w:rsid w:val="00706544"/>
    <w:rsid w:val="007072BA"/>
    <w:rsid w:val="0071620A"/>
    <w:rsid w:val="00724677"/>
    <w:rsid w:val="00725459"/>
    <w:rsid w:val="007327BD"/>
    <w:rsid w:val="00734608"/>
    <w:rsid w:val="0074138E"/>
    <w:rsid w:val="00745302"/>
    <w:rsid w:val="007461D6"/>
    <w:rsid w:val="00746EC8"/>
    <w:rsid w:val="00751916"/>
    <w:rsid w:val="00763BF1"/>
    <w:rsid w:val="00766FD4"/>
    <w:rsid w:val="00775865"/>
    <w:rsid w:val="0078168C"/>
    <w:rsid w:val="00787C2A"/>
    <w:rsid w:val="00790E27"/>
    <w:rsid w:val="00792A98"/>
    <w:rsid w:val="007A4022"/>
    <w:rsid w:val="007A6E6E"/>
    <w:rsid w:val="007C0588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3899"/>
    <w:rsid w:val="008A45F7"/>
    <w:rsid w:val="008C0CC0"/>
    <w:rsid w:val="008C19A9"/>
    <w:rsid w:val="008C379D"/>
    <w:rsid w:val="008C5147"/>
    <w:rsid w:val="008C5359"/>
    <w:rsid w:val="008C5363"/>
    <w:rsid w:val="008C7B12"/>
    <w:rsid w:val="008D3DFB"/>
    <w:rsid w:val="008E64F4"/>
    <w:rsid w:val="008F12C9"/>
    <w:rsid w:val="008F2E26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058F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014A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D23"/>
    <w:rsid w:val="00B90885"/>
    <w:rsid w:val="00BB520A"/>
    <w:rsid w:val="00BC797F"/>
    <w:rsid w:val="00BD3869"/>
    <w:rsid w:val="00BD66E9"/>
    <w:rsid w:val="00BD6FF4"/>
    <w:rsid w:val="00BE56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5F88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C4C"/>
    <w:rsid w:val="00D74119"/>
    <w:rsid w:val="00D8075B"/>
    <w:rsid w:val="00D8678B"/>
    <w:rsid w:val="00DA2114"/>
    <w:rsid w:val="00DA6057"/>
    <w:rsid w:val="00DB0426"/>
    <w:rsid w:val="00DC6D0C"/>
    <w:rsid w:val="00DE09C0"/>
    <w:rsid w:val="00DE3AB8"/>
    <w:rsid w:val="00DE4A14"/>
    <w:rsid w:val="00DF320D"/>
    <w:rsid w:val="00DF6D46"/>
    <w:rsid w:val="00DF71C8"/>
    <w:rsid w:val="00E129B8"/>
    <w:rsid w:val="00E21E7D"/>
    <w:rsid w:val="00E22FBC"/>
    <w:rsid w:val="00E24BF5"/>
    <w:rsid w:val="00E25338"/>
    <w:rsid w:val="00E47230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BE"/>
    <w:rsid w:val="00EC4899"/>
    <w:rsid w:val="00EC635D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5791"/>
    <w:rsid w:val="00FB62EE"/>
    <w:rsid w:val="00FB7DBA"/>
    <w:rsid w:val="00FC1C25"/>
    <w:rsid w:val="00FC3F45"/>
    <w:rsid w:val="00FD503F"/>
    <w:rsid w:val="00FD7589"/>
    <w:rsid w:val="00FF016A"/>
    <w:rsid w:val="00FF1401"/>
    <w:rsid w:val="00FF42F9"/>
    <w:rsid w:val="00FF5E7D"/>
    <w:rsid w:val="00FF7F12"/>
    <w:rsid w:val="71E82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6981520F-A19F-4115-82D5-0568BAC68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76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76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765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76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765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3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A85DE3-7BD4-42BA-B6C1-4B9BADBB39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FC91E4-F893-40CC-9C7F-CA2407D27F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499A0B-FD22-495B-B7F7-CAD8BE3BAB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D78BABF-9DF2-41C5-9E69-A1956E1330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785</Words>
  <Characters>4714</Characters>
  <Application>Microsoft Office Word</Application>
  <DocSecurity>0</DocSecurity>
  <Lines>39</Lines>
  <Paragraphs>10</Paragraphs>
  <ScaleCrop>false</ScaleCrop>
  <Company>Hewlett-Packard Company</Company>
  <LinksUpToDate>false</LinksUpToDate>
  <CharactersWithSpaces>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11</cp:revision>
  <cp:lastPrinted>2019-02-06T12:12:00Z</cp:lastPrinted>
  <dcterms:created xsi:type="dcterms:W3CDTF">2020-12-20T16:38:00Z</dcterms:created>
  <dcterms:modified xsi:type="dcterms:W3CDTF">2021-11-03T20:27:00Z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