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320" w:rsidRPr="003A2320" w:rsidRDefault="003A2320" w:rsidP="003A2320">
      <w:pPr>
        <w:spacing w:after="200" w:line="240" w:lineRule="auto"/>
        <w:jc w:val="center"/>
        <w:rPr>
          <w:rFonts w:eastAsia="Calibri"/>
          <w:bCs/>
          <w:i/>
          <w:sz w:val="22"/>
          <w:szCs w:val="22"/>
        </w:rPr>
      </w:pPr>
      <w:r w:rsidRPr="003A2320">
        <w:rPr>
          <w:rFonts w:eastAsia="Calibri"/>
          <w:b/>
          <w:smallCaps/>
        </w:rPr>
        <w:t>SYLABUS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>dotyczy cyklu kształcenia</w:t>
      </w:r>
      <w:r w:rsidRPr="003A2320">
        <w:rPr>
          <w:rFonts w:eastAsia="Calibri"/>
          <w:smallCaps/>
        </w:rPr>
        <w:t xml:space="preserve"> 20</w:t>
      </w:r>
      <w:r w:rsidR="001B2572">
        <w:rPr>
          <w:rFonts w:eastAsia="Calibri"/>
          <w:smallCaps/>
        </w:rPr>
        <w:t>21</w:t>
      </w:r>
      <w:r w:rsidRPr="003A2320">
        <w:rPr>
          <w:rFonts w:eastAsia="Calibri"/>
          <w:smallCaps/>
        </w:rPr>
        <w:t xml:space="preserve"> - 202</w:t>
      </w:r>
      <w:r w:rsidR="001B2572">
        <w:rPr>
          <w:rFonts w:eastAsia="Calibri"/>
          <w:smallCaps/>
        </w:rPr>
        <w:t>6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  <w:r w:rsidRPr="003A2320">
        <w:rPr>
          <w:rFonts w:eastAsia="Calibri"/>
          <w:sz w:val="20"/>
          <w:szCs w:val="20"/>
        </w:rPr>
        <w:t>Rok akademicki 202</w:t>
      </w:r>
      <w:r w:rsidR="001B2572">
        <w:rPr>
          <w:rFonts w:eastAsia="Calibri"/>
          <w:sz w:val="20"/>
          <w:szCs w:val="20"/>
        </w:rPr>
        <w:t>4</w:t>
      </w:r>
      <w:r w:rsidRPr="003A2320">
        <w:rPr>
          <w:rFonts w:eastAsia="Calibri"/>
          <w:sz w:val="20"/>
          <w:szCs w:val="20"/>
        </w:rPr>
        <w:t>/</w:t>
      </w:r>
      <w:r w:rsidR="001B2572">
        <w:rPr>
          <w:rFonts w:eastAsia="Calibri"/>
          <w:sz w:val="20"/>
          <w:szCs w:val="20"/>
        </w:rPr>
        <w:t>20</w:t>
      </w:r>
      <w:r w:rsidRPr="003A2320">
        <w:rPr>
          <w:rFonts w:eastAsia="Calibri"/>
          <w:sz w:val="20"/>
          <w:szCs w:val="20"/>
        </w:rPr>
        <w:t>2</w:t>
      </w:r>
      <w:r w:rsidR="001B2572">
        <w:rPr>
          <w:rFonts w:eastAsia="Calibri"/>
          <w:sz w:val="20"/>
          <w:szCs w:val="20"/>
        </w:rPr>
        <w:t>5,2025/2026</w:t>
      </w:r>
      <w:bookmarkStart w:id="0" w:name="_GoBack"/>
      <w:bookmarkEnd w:id="0"/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  <w:color w:val="0070C0"/>
        </w:rPr>
      </w:pPr>
      <w:r w:rsidRPr="003A232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Podstawy diagnostyki edukacyjnej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Instytut Pedagogiki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5-letnie jednolite studia magisterskie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Praktyczny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stacjonarne 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Rok IV </w:t>
            </w:r>
            <w:proofErr w:type="spellStart"/>
            <w:r w:rsidRPr="003A2320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 xml:space="preserve">. 8 i rok V </w:t>
            </w:r>
            <w:proofErr w:type="spellStart"/>
            <w:r w:rsidR="008746C6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>. 9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H. Podstawy diagnostyki edukacyjnej dla nauczycieli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polski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Dr Alicja Kubik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* </w:t>
      </w:r>
      <w:r w:rsidRPr="003A2320">
        <w:rPr>
          <w:rFonts w:eastAsia="Times New Roman"/>
          <w:b/>
          <w:i/>
          <w:lang w:eastAsia="pl-PL"/>
        </w:rPr>
        <w:t>-</w:t>
      </w:r>
      <w:proofErr w:type="spellStart"/>
      <w:r w:rsidRPr="003A2320">
        <w:rPr>
          <w:rFonts w:eastAsia="Times New Roman"/>
          <w:i/>
          <w:lang w:eastAsia="pl-PL"/>
        </w:rPr>
        <w:t>opcjonalni</w:t>
      </w:r>
      <w:r w:rsidRPr="003A2320">
        <w:rPr>
          <w:rFonts w:eastAsia="Times New Roman"/>
          <w:lang w:eastAsia="pl-PL"/>
        </w:rPr>
        <w:t>e,</w:t>
      </w:r>
      <w:r w:rsidRPr="003A2320">
        <w:rPr>
          <w:rFonts w:eastAsia="Times New Roman"/>
          <w:i/>
          <w:lang w:eastAsia="pl-PL"/>
        </w:rPr>
        <w:t>zgodnie</w:t>
      </w:r>
      <w:proofErr w:type="spellEnd"/>
      <w:r w:rsidRPr="003A2320">
        <w:rPr>
          <w:rFonts w:eastAsia="Times New Roman"/>
          <w:i/>
          <w:lang w:eastAsia="pl-PL"/>
        </w:rPr>
        <w:t xml:space="preserve"> z ustaleniami w Jednostce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2320" w:rsidRPr="003A232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Semestr</w:t>
            </w:r>
          </w:p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Wykł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Konw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Sem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Prakt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Liczba pkt. ECTS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4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3</w:t>
            </w: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3A2320">
        <w:rPr>
          <w:rFonts w:eastAsia="Calibri"/>
          <w:b/>
        </w:rPr>
        <w:t>1.2.</w:t>
      </w:r>
      <w:r w:rsidRPr="003A2320">
        <w:rPr>
          <w:rFonts w:eastAsia="Calibri"/>
          <w:b/>
        </w:rPr>
        <w:tab/>
        <w:t xml:space="preserve">Sposób realizacji zajęć 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☒</w:t>
      </w:r>
      <w:r w:rsidRPr="003A2320">
        <w:rPr>
          <w:rFonts w:eastAsia="Calibri"/>
          <w:u w:val="single"/>
        </w:rPr>
        <w:t>zajęcia w formie tradycyjnej</w:t>
      </w:r>
      <w:r w:rsidRPr="003A2320">
        <w:rPr>
          <w:rFonts w:eastAsia="Calibri"/>
        </w:rPr>
        <w:t xml:space="preserve">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☐</w:t>
      </w:r>
      <w:r w:rsidRPr="003A2320">
        <w:rPr>
          <w:rFonts w:eastAsia="Calibri"/>
        </w:rPr>
        <w:t>zajęcia realizowane z wykorzystaniem metod i technik kształcenia na odległość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3A2320">
        <w:rPr>
          <w:rFonts w:eastAsia="Calibri"/>
          <w:b/>
        </w:rPr>
        <w:t xml:space="preserve">1.3 </w:t>
      </w:r>
      <w:r w:rsidRPr="003A2320">
        <w:rPr>
          <w:rFonts w:eastAsia="Calibri"/>
          <w:b/>
        </w:rPr>
        <w:tab/>
        <w:t>Forma zaliczenia przedmiotu  (z toku): egzamin</w:t>
      </w:r>
    </w:p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sz w:val="20"/>
                <w:szCs w:val="20"/>
              </w:rPr>
              <w:t xml:space="preserve"> </w:t>
            </w:r>
            <w:r w:rsidRPr="003A2320">
              <w:rPr>
                <w:rFonts w:eastAsia="Calibri"/>
              </w:rPr>
              <w:t>Wiedza z zakresu psychologii rozwojowej (prawidłowości rozwoju dziecka w wieku przedszkolnym i młodszym wieku szkolnym), metodyki pracy w przedszkolu i w edukacji wczesnoszkolnej, pedagogiki przedszkolnej i wczesnoszkolnej.</w:t>
            </w:r>
          </w:p>
        </w:tc>
      </w:tr>
    </w:tbl>
    <w:p w:rsid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563891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563891" w:rsidRPr="003A2320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lastRenderedPageBreak/>
        <w:t>3.cele, efekty uczenia się , treści Programowe i stosowane metody Dydaktyczne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>3.1 Cele przedmiotu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Zapoznanie z terminologią używaną w diagnostyce pedagogicznej i jej zastosowaniem w dyscyplinach pokrewnych oraz istotą, złożonością i uwarunkowaniami procesu diagnostycznego.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Zapoznanie z podstawowymi narzędziami diagnozy pedagogicznej dzieci w wieku przedszkolnym i młodszym wieku szkolnym.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Kształtowanie umiejętności diagnostycznych w zakresie doboru adekwatnych metod, technik i narzędzi diagnostycznych oraz rozpoznawania i opisu interesujących diagnostę stanów rzeczy, ich ocenę i interpretację celem zaprojektowania oddziaływania zapobiegawczego (profilaktycznego) oraz terapeutycznego (korekcyjnego).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Rozwijanie pozytywnego nastawienia do nabywania wiedzy z zakresu diagnozy pedagogicznej i budowania warsztatu pracy nauczyciela-diagnosty.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color w:val="000000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3.2 Efekty uczenia się dla przedmiotu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A2320" w:rsidRPr="003A2320" w:rsidTr="000E4ED9">
        <w:tc>
          <w:tcPr>
            <w:tcW w:w="1701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b/>
              </w:rPr>
              <w:t>EK</w:t>
            </w:r>
            <w:r w:rsidRPr="003A232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Odniesienie do efektów  kierunkowych</w:t>
            </w:r>
            <w:r w:rsidRPr="003A232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</w:t>
            </w:r>
            <w:r w:rsidRPr="003A232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podstawy prawne, cele, funkcje i rodzaje oceniania jako wspierania rozwoju dziecka w wieku przedszkolnym i ucznia w młodszym wieku szkolnym oraz zasady konstruowania narzędzi oceny pedagogicznej;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dominujące rodzaje zainteresowań dzieci w wieku przedszkolnym oraz uczniów w młodszym wieku szkolnym oraz wyjaśni sposoby i metody rozwijania zainteresowań dzieci lub uczniów;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i zrozumie zagadnienia związane z oceną jakości pracy nauczyciela i jakości pracy przedszkola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Zapozna się z zagadnieniami ewaluacji edukacyjnej i edukacyjnej wartości dodanej, w tym ich zasady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indywidualne cechy rozwoju i uczenia się dzieci mających rozpocząć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PPiW.W18</w:t>
            </w: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PPiW.U02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lang w:eastAsia="pl-PL"/>
              </w:rPr>
            </w:pPr>
            <w:r w:rsidRPr="003A2320">
              <w:rPr>
                <w:rFonts w:eastAsia="Calibri"/>
                <w:lang w:eastAsia="pl-PL"/>
              </w:rPr>
              <w:t>Poprawnie skonstruuje narzędzia diagnozy pedagogicznej</w:t>
            </w:r>
            <w:r w:rsidRPr="003A2320">
              <w:rPr>
                <w:rFonts w:ascii="Calibri" w:eastAsia="Calibri" w:hAnsi="Calibri"/>
                <w:sz w:val="22"/>
                <w:szCs w:val="22"/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>EK_08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potrzeby edukacyjne i zainteresowania dzieci w wieku przedszkolnym i uczniów w młodszym wieku szkolnym oraz na tej podstawie zaprojektuje działania pedagogiczne;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 scharakteryzuje wymierne i niewymierne rezultaty pracy nauczyciela;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Zaprojektuje ścieżkę własnego rozwoju zawodowego i dokonuje jego ewaluacji;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Jest gotów do etycznego postępowania w procesie oceniania rezultatów procesu wychowania i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color w:val="000000"/>
                <w:lang w:eastAsia="pl-PL"/>
              </w:rPr>
            </w:pPr>
            <w:r w:rsidRPr="003A2320">
              <w:rPr>
                <w:rFonts w:eastAsia="Calibri" w:cs="TimesNewRoman"/>
                <w:color w:val="000000"/>
                <w:lang w:eastAsia="pl-PL"/>
              </w:rPr>
              <w:t xml:space="preserve">Jest gotów do ciągłego podnoszenia poziomu własnej wiedzy, umiejętności i kompetencji społecznych w procesie diagnozowania pedagogicznego, 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w tym w zakresie kształcenia uczniów ze specjalnymi potrzebami edukacyjnymi i niepełnosprawnościami.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3.3Treści programowe </w:t>
      </w:r>
    </w:p>
    <w:p w:rsidR="003A2320" w:rsidRPr="003A2320" w:rsidRDefault="003A2320" w:rsidP="003A232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wykładu </w:t>
      </w:r>
    </w:p>
    <w:p w:rsidR="003A2320" w:rsidRPr="003A2320" w:rsidRDefault="003A2320" w:rsidP="003A232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Diagnostyka pedagogiczna – podstawowe pojęcia, rodzaje, etapy działań diagnostycznych, zasady pracy diagnosty. </w:t>
            </w:r>
            <w:r w:rsidRPr="003A2320">
              <w:rPr>
                <w:rFonts w:eastAsia="Calibri" w:cs="Arial"/>
              </w:rPr>
              <w:t>Diagnostyka edukacyjna a profilaktyka i terapia pedagogiczna.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TimesNewRoman"/>
                <w:lang w:eastAsia="pl-PL"/>
              </w:rPr>
              <w:t>Teorie, koncepcje i modele rozpoznawania cech rozwoju i funkcjonowania dziecka w wieku przedszkolnym i ucznia w młodszym wieku szkolnym.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Podstawy prawne, cele, funkcje i rodzaje oceniania jako wspierania rozwoju dziecka w wieku przedszkolnym i ucznia w młodszym wieku szkolnym oraz zasady konstruowania narzędzi oceny pedagogicznej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Dojrzałość a gotowość szkolna  – pojęcie, sposoby jej diagnozowania.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Gotowość  do nauki czytania i pisania w ujęciu A. Brzezińskiej i G. </w:t>
            </w:r>
            <w:proofErr w:type="spellStart"/>
            <w:r w:rsidRPr="003A2320">
              <w:rPr>
                <w:rFonts w:eastAsia="Calibri"/>
              </w:rPr>
              <w:t>Krasowicz</w:t>
            </w:r>
            <w:proofErr w:type="spellEnd"/>
            <w:r w:rsidRPr="003A2320">
              <w:rPr>
                <w:rFonts w:eastAsia="Calibri"/>
              </w:rPr>
              <w:t>-Kupis – analiza narzędzi diagnostycznych.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Dojrzałość do uczenia się matematyki w ujęciu E. Gruszczyk-Kolczyńskiej i U. </w:t>
            </w:r>
            <w:proofErr w:type="spellStart"/>
            <w:r w:rsidRPr="003A2320">
              <w:rPr>
                <w:rFonts w:eastAsia="Calibri"/>
              </w:rPr>
              <w:t>Oszwy</w:t>
            </w:r>
            <w:proofErr w:type="spellEnd"/>
            <w:r w:rsidRPr="003A2320">
              <w:rPr>
                <w:rFonts w:eastAsia="Calibri"/>
              </w:rPr>
              <w:t xml:space="preserve"> – analiza narzędzi diagnostycznych.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Specyficzne trudności w uczeniu się dzieci młodszych – ryzyko dysleksji i ryzyko dyskalkulii.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ćwiczeń audytoryjnych, konwersatoryjnych, laboratoryjnych, zajęć praktycznych </w:t>
      </w:r>
    </w:p>
    <w:p w:rsidR="003A2320" w:rsidRPr="003A2320" w:rsidRDefault="003A2320" w:rsidP="003A232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Rozpoznawanie objawów problemów edukacyjnych, indywidualnych potrzeb dziecka, objawów zagrożeń i trudności występujących u dzieci w wieku przedszkolnym i wczesnoszkolnym – analiza przypadków indywidualnych na gruncie praktyki (w tym praktyki pedagogicznej w przedszkolu i szkole).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Analiza testów pedagogicznych do diagnozy gotowości szkolnej (test B. </w:t>
            </w:r>
            <w:proofErr w:type="spellStart"/>
            <w:r w:rsidRPr="003A2320">
              <w:rPr>
                <w:rFonts w:eastAsia="Calibri"/>
              </w:rPr>
              <w:t>Wilgockiej-Okoń</w:t>
            </w:r>
            <w:proofErr w:type="spellEnd"/>
            <w:r w:rsidRPr="003A2320">
              <w:rPr>
                <w:rFonts w:eastAsia="Calibri"/>
              </w:rPr>
              <w:t>, SGS-5, SGS-6, B. Janiszewskiej, E. Tryzno, itp.).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Analiza testów do diagnozy gotowości do nauki czytania i pisania (A. Brzezińska, G. </w:t>
            </w:r>
            <w:proofErr w:type="spellStart"/>
            <w:r w:rsidRPr="003A2320">
              <w:rPr>
                <w:rFonts w:eastAsia="Calibri"/>
              </w:rPr>
              <w:t>Krasowicz</w:t>
            </w:r>
            <w:proofErr w:type="spellEnd"/>
            <w:r w:rsidRPr="003A2320">
              <w:rPr>
                <w:rFonts w:eastAsia="Calibri"/>
              </w:rPr>
              <w:t>-Kupis).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Sposoby diagnozowania dojrzałości do uczenia się matematyki (koncepcja E. Gruszczyk-Kolczyńskiej).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 xml:space="preserve">Sposoby diagnozowania ryzyka dysleksji (SRD dla 5-latków, SRD dla 6-latków, SRD dla uczniów klasy I </w:t>
            </w:r>
            <w:proofErr w:type="spellStart"/>
            <w:r w:rsidRPr="003A2320">
              <w:rPr>
                <w:rFonts w:eastAsia="Calibri"/>
              </w:rPr>
              <w:t>i</w:t>
            </w:r>
            <w:proofErr w:type="spellEnd"/>
            <w:r w:rsidRPr="003A2320">
              <w:rPr>
                <w:rFonts w:eastAsia="Calibri"/>
              </w:rPr>
              <w:t xml:space="preserve"> II). 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Sposoby diagnozowania ryzyka dyskalkulii (wg L. </w:t>
            </w:r>
            <w:proofErr w:type="spellStart"/>
            <w:r w:rsidRPr="003A2320">
              <w:rPr>
                <w:rFonts w:eastAsia="Calibri"/>
              </w:rPr>
              <w:t>Kosca</w:t>
            </w:r>
            <w:proofErr w:type="spellEnd"/>
            <w:r w:rsidRPr="003A2320">
              <w:rPr>
                <w:rFonts w:eastAsia="Calibri"/>
              </w:rPr>
              <w:t xml:space="preserve">, U. </w:t>
            </w:r>
            <w:proofErr w:type="spellStart"/>
            <w:r w:rsidRPr="003A2320">
              <w:rPr>
                <w:rFonts w:eastAsia="Calibri"/>
              </w:rPr>
              <w:t>Oszwy</w:t>
            </w:r>
            <w:proofErr w:type="spellEnd"/>
            <w:r w:rsidRPr="003A2320">
              <w:rPr>
                <w:rFonts w:eastAsia="Calibri"/>
              </w:rPr>
              <w:t>, M. Bogdanowicz).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Próby oceny poziomu rozwoju dojrzałości szkolnej dziecka na podstawie analizy przykładowych wytworów pracy dziecka oraz praktyki pedagogicznej.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Diagnoza pedagogiczna dziecka w przedszkolu lub ucznia edukacji wczesnoszkolnej wybranym narzędziem diagnostycznym – interpretacja uzyskanych wyników badań (forma pisemna i ustna).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Projektowanie wariantów programów pomocy psychologiczno-pedagogicznej dla wybranego obszaru przeprowadzonej diagnozy, w tym dla problemów dziecka ze specjalnymi potrzebami edukacyjnymi.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3.4 Metody dydaktyczne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Wykład: wykład problemowy, wykład z prezentacją multimedialną;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Ćwiczenia: analiza tekstów z dyskusją, metoda projektów (projekt praktyczny), praca w grupach (rozwiązywanie zadań, dyskusja).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4. METODY I KRYTERIA OCENY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4.1 Sposoby weryfikacji efektów uczenia się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2320" w:rsidRPr="003A2320" w:rsidTr="000E4ED9">
        <w:tc>
          <w:tcPr>
            <w:tcW w:w="1985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3A2320">
              <w:rPr>
                <w:rFonts w:eastAsia="Calibri"/>
                <w:color w:val="000000"/>
              </w:rPr>
              <w:t>sie</w:t>
            </w:r>
            <w:proofErr w:type="spellEnd"/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Forma zajęć dydaktycznych </w:t>
            </w:r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(w, </w:t>
            </w:r>
            <w:proofErr w:type="spellStart"/>
            <w:r w:rsidRPr="003A2320">
              <w:rPr>
                <w:rFonts w:eastAsia="Calibri"/>
              </w:rPr>
              <w:t>ćw</w:t>
            </w:r>
            <w:proofErr w:type="spellEnd"/>
            <w:r w:rsidRPr="003A2320">
              <w:rPr>
                <w:rFonts w:eastAsia="Calibri"/>
              </w:rPr>
              <w:t>, …)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3A2320">
              <w:rPr>
                <w:rFonts w:eastAsia="Calibri"/>
                <w:smallCaps/>
              </w:rPr>
              <w:t>ek</w:t>
            </w:r>
            <w:proofErr w:type="spellEnd"/>
            <w:r w:rsidRPr="003A232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r w:rsidRPr="003A2320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EK_08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4.2 Warunki zaliczenia przedmiotu (kryteria oceniania)</w:t>
      </w: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Aktywny udział w zajęciach, wykonanie pracy projektowej i omówienie jej podczas zajęć, zliczenie, EGZAMIN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2320" w:rsidRPr="003A2320" w:rsidTr="000E4ED9">
        <w:tc>
          <w:tcPr>
            <w:tcW w:w="4962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Średnia liczba godzinna zrealizowanie aktywności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kontaktowe wynikające </w:t>
            </w:r>
            <w:r w:rsidRPr="003A2320"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z harmonogramu </w:t>
            </w:r>
            <w:r w:rsidRPr="003A2320">
              <w:rPr>
                <w:rFonts w:eastAsia="Calibri"/>
              </w:rPr>
              <w:t>studiów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Inne z udziałem nauczyciela akademickiego</w:t>
            </w:r>
          </w:p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</w:t>
            </w:r>
            <w:proofErr w:type="spellStart"/>
            <w:r w:rsidRPr="003A2320">
              <w:rPr>
                <w:rFonts w:eastAsia="Calibri"/>
              </w:rPr>
              <w:t>niekontaktowe</w:t>
            </w:r>
            <w:proofErr w:type="spellEnd"/>
            <w:r w:rsidRPr="003A2320">
              <w:rPr>
                <w:rFonts w:eastAsia="Calibri"/>
              </w:rPr>
              <w:t xml:space="preserve"> – praca własna studenta (przygotowanie do zajęć, egzaminu, opracowanie projektu, egzaminu)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147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210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7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426"/>
        <w:rPr>
          <w:rFonts w:eastAsia="Calibri"/>
          <w:i/>
        </w:rPr>
      </w:pPr>
      <w:r w:rsidRPr="003A2320">
        <w:rPr>
          <w:rFonts w:eastAsia="Calibri"/>
          <w:i/>
        </w:rPr>
        <w:t>* Należy uwzględnić, że 1 pkt ECTS odpowiada 25-30 godzin całkowitego nakładu pracy studenta.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6. PRAKTYKI ZAWODOWE W RAMACH PRZEDMIOTU</w:t>
      </w: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Nie dotyczy</w:t>
            </w:r>
          </w:p>
        </w:tc>
      </w:tr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Nie dotyczy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7. LITERATURA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2320" w:rsidRPr="003A2320" w:rsidTr="000E4ED9">
        <w:trPr>
          <w:trHeight w:val="397"/>
        </w:trPr>
        <w:tc>
          <w:tcPr>
            <w:tcW w:w="7513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Literatura podstawowa: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S. Włoch, A. Włoch</w:t>
            </w:r>
            <w:r w:rsidRPr="008746C6">
              <w:rPr>
                <w:rFonts w:eastAsia="Calibri"/>
                <w:i/>
              </w:rPr>
              <w:t>, Diagnoza całościowa w edukacji przedszkolnej dziecka</w:t>
            </w:r>
            <w:r w:rsidRPr="008746C6">
              <w:rPr>
                <w:rFonts w:eastAsia="Calibri"/>
              </w:rPr>
              <w:t>. Wydawnictwo Akademickie Żak, Warszawa 2009;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</w:t>
            </w:r>
            <w:proofErr w:type="spellStart"/>
            <w:r w:rsidRPr="008746C6">
              <w:rPr>
                <w:rFonts w:eastAsia="Calibri"/>
              </w:rPr>
              <w:t>Górniewicz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Pedagogiczna diagnoza specyficznych trudności w czytaniu i pisaniu</w:t>
            </w:r>
            <w:r w:rsidRPr="008746C6">
              <w:rPr>
                <w:rFonts w:eastAsia="Calibri"/>
              </w:rPr>
              <w:t xml:space="preserve">. </w:t>
            </w:r>
            <w:proofErr w:type="spellStart"/>
            <w:r w:rsidRPr="008746C6">
              <w:rPr>
                <w:rFonts w:eastAsia="Calibri"/>
              </w:rPr>
              <w:t>Torun</w:t>
            </w:r>
            <w:proofErr w:type="spellEnd"/>
            <w:r w:rsidRPr="008746C6">
              <w:rPr>
                <w:rFonts w:eastAsia="Calibri"/>
              </w:rPr>
              <w:t xml:space="preserve"> 1995;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E. Gruszczyk-Kolczyńska, E. Zielińska</w:t>
            </w:r>
            <w:r w:rsidRPr="008746C6">
              <w:rPr>
                <w:rFonts w:eastAsia="Calibri"/>
                <w:i/>
              </w:rPr>
              <w:t>, Nauczycielska diagnoza gotowości do podjęcia nauki szkolnej. Jak prowadzić obserwację dzieci, interpretować wyniki i formułować wnioski.</w:t>
            </w:r>
            <w:r w:rsidRPr="008746C6">
              <w:rPr>
                <w:rFonts w:eastAsia="Calibri"/>
              </w:rPr>
              <w:t xml:space="preserve"> Wyd. Bliżej Przedszkola. Kraków 2011;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Jarosz, </w:t>
            </w:r>
            <w:r w:rsidRPr="008746C6">
              <w:rPr>
                <w:rFonts w:eastAsia="Calibri"/>
                <w:i/>
              </w:rPr>
              <w:t>Wybrane obszary diagnozowania pedagogicznego</w:t>
            </w:r>
            <w:r w:rsidRPr="008746C6">
              <w:rPr>
                <w:rFonts w:eastAsia="Calibri"/>
              </w:rPr>
              <w:t>. Katowice 2001;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Jarosz, </w:t>
            </w:r>
            <w:proofErr w:type="spellStart"/>
            <w:r w:rsidRPr="008746C6">
              <w:rPr>
                <w:rFonts w:eastAsia="Calibri"/>
              </w:rPr>
              <w:t>E.Wysocka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Diagnoza psychopedagogiczna</w:t>
            </w:r>
            <w:r w:rsidRPr="008746C6">
              <w:rPr>
                <w:rFonts w:eastAsia="Calibri"/>
              </w:rPr>
              <w:t>, wyd. Żaka, Warszawa 2006;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8746C6">
              <w:rPr>
                <w:rFonts w:eastAsia="Calibri"/>
              </w:rPr>
              <w:t xml:space="preserve">B. </w:t>
            </w:r>
            <w:proofErr w:type="spellStart"/>
            <w:r w:rsidRPr="008746C6">
              <w:rPr>
                <w:rFonts w:eastAsia="Calibri"/>
              </w:rPr>
              <w:t>Skałbania</w:t>
            </w:r>
            <w:proofErr w:type="spellEnd"/>
            <w:r w:rsidRPr="008746C6">
              <w:rPr>
                <w:rFonts w:eastAsia="Calibri"/>
                <w:i/>
              </w:rPr>
              <w:t>, Diagnostyka pedagogiczna. Wybrane obszary badawcze i rozwiązania praktyczne</w:t>
            </w:r>
            <w:r w:rsidRPr="008746C6">
              <w:rPr>
                <w:rFonts w:eastAsia="Calibri"/>
              </w:rPr>
              <w:t>. Impuls, Kraków 2011.</w:t>
            </w:r>
          </w:p>
        </w:tc>
      </w:tr>
      <w:tr w:rsidR="003A2320" w:rsidRPr="003A2320" w:rsidTr="000E4ED9">
        <w:trPr>
          <w:trHeight w:val="397"/>
        </w:trPr>
        <w:tc>
          <w:tcPr>
            <w:tcW w:w="7513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Literatura uzupełniająca: 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M. Bogdanowicz, </w:t>
            </w:r>
            <w:r w:rsidRPr="008746C6">
              <w:rPr>
                <w:rFonts w:eastAsia="Calibri"/>
                <w:i/>
              </w:rPr>
              <w:t>Ryzyko dysleksji. Problem i diagnozowanie</w:t>
            </w:r>
            <w:r w:rsidRPr="008746C6">
              <w:rPr>
                <w:rFonts w:eastAsia="Calibri"/>
              </w:rPr>
              <w:t>. Harmonia, Gdańsk 2002;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M. Bogdanowicz, </w:t>
            </w:r>
            <w:r w:rsidRPr="008746C6">
              <w:rPr>
                <w:rFonts w:eastAsia="Calibri"/>
                <w:i/>
              </w:rPr>
              <w:t>Ryzyko dysleksji, dysortografii i dysgrafii</w:t>
            </w:r>
            <w:r w:rsidRPr="008746C6">
              <w:rPr>
                <w:rFonts w:eastAsia="Calibri"/>
              </w:rPr>
              <w:t xml:space="preserve">. </w:t>
            </w:r>
            <w:r w:rsidRPr="008746C6">
              <w:rPr>
                <w:rFonts w:eastAsia="Calibri"/>
                <w:i/>
              </w:rPr>
              <w:t xml:space="preserve">Skala Ryzyka Dysleksji wraz z normami dla klas I </w:t>
            </w:r>
            <w:proofErr w:type="spellStart"/>
            <w:r w:rsidRPr="008746C6">
              <w:rPr>
                <w:rFonts w:eastAsia="Calibri"/>
                <w:i/>
              </w:rPr>
              <w:t>i</w:t>
            </w:r>
            <w:proofErr w:type="spellEnd"/>
            <w:r w:rsidRPr="008746C6">
              <w:rPr>
                <w:rFonts w:eastAsia="Calibri"/>
                <w:i/>
              </w:rPr>
              <w:t xml:space="preserve"> II. </w:t>
            </w:r>
            <w:r w:rsidRPr="008746C6">
              <w:rPr>
                <w:rFonts w:eastAsia="Calibri"/>
              </w:rPr>
              <w:t>Harmonia, Gdańsk 2011;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  <w:i/>
              </w:rPr>
              <w:t>Diagnoza dysleksji</w:t>
            </w:r>
            <w:r w:rsidRPr="008746C6">
              <w:rPr>
                <w:rFonts w:eastAsia="Calibri"/>
                <w:i/>
                <w:color w:val="FF0000"/>
              </w:rPr>
              <w:t xml:space="preserve">, </w:t>
            </w:r>
            <w:r w:rsidRPr="008746C6">
              <w:rPr>
                <w:rFonts w:eastAsia="Calibri"/>
              </w:rPr>
              <w:t xml:space="preserve">pod red. B. </w:t>
            </w:r>
            <w:proofErr w:type="spellStart"/>
            <w:r w:rsidRPr="008746C6">
              <w:rPr>
                <w:rFonts w:eastAsia="Calibri"/>
              </w:rPr>
              <w:t>Kaji</w:t>
            </w:r>
            <w:proofErr w:type="spellEnd"/>
            <w:r w:rsidRPr="008746C6">
              <w:rPr>
                <w:rFonts w:eastAsia="Calibri"/>
              </w:rPr>
              <w:t>. Wyd. Akademii Bydgoskiej, Bydgoszcz 2003;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  <w:i/>
              </w:rPr>
              <w:t>Diagnoza dysleksji. Najważniejsze problemy</w:t>
            </w:r>
            <w:r w:rsidRPr="008746C6">
              <w:rPr>
                <w:rFonts w:eastAsia="Calibri"/>
              </w:rPr>
              <w:t xml:space="preserve">, pod red. G. </w:t>
            </w:r>
            <w:proofErr w:type="spellStart"/>
            <w:r w:rsidRPr="008746C6">
              <w:rPr>
                <w:rFonts w:eastAsia="Calibri"/>
              </w:rPr>
              <w:t>Krasowicz</w:t>
            </w:r>
            <w:proofErr w:type="spellEnd"/>
            <w:r w:rsidRPr="008746C6">
              <w:rPr>
                <w:rFonts w:eastAsia="Calibri"/>
              </w:rPr>
              <w:t>-Kupis. Harmonia, Gdańsk 2009;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S. </w:t>
            </w:r>
            <w:proofErr w:type="spellStart"/>
            <w:r w:rsidRPr="008746C6">
              <w:rPr>
                <w:rFonts w:eastAsia="Calibri"/>
              </w:rPr>
              <w:t>Chermet-Carroy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Zrozum rysunki dziecka. Jak interpretować rysunki małych dzieci</w:t>
            </w:r>
            <w:r w:rsidRPr="008746C6">
              <w:rPr>
                <w:rFonts w:eastAsia="Calibri"/>
              </w:rPr>
              <w:t>. Łódź 2005;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Gruszczyk-Kolczyńska, </w:t>
            </w:r>
            <w:r w:rsidRPr="008746C6">
              <w:rPr>
                <w:rFonts w:eastAsia="Calibri"/>
                <w:i/>
              </w:rPr>
              <w:t>Dzieci ze specyficznymi trudnościami w uczeniu się matematyki</w:t>
            </w:r>
            <w:r w:rsidRPr="008746C6">
              <w:rPr>
                <w:rFonts w:eastAsia="Calibri"/>
              </w:rPr>
              <w:t>. WSiP, Warszawa 1994;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Janiszewska, </w:t>
            </w:r>
            <w:r w:rsidRPr="008746C6">
              <w:rPr>
                <w:rFonts w:eastAsia="Calibri"/>
                <w:i/>
              </w:rPr>
              <w:t>Ocena dojrzałości szkolnej</w:t>
            </w:r>
            <w:r w:rsidRPr="008746C6">
              <w:rPr>
                <w:rFonts w:eastAsia="Calibri"/>
              </w:rPr>
              <w:t xml:space="preserve">. </w:t>
            </w:r>
            <w:proofErr w:type="spellStart"/>
            <w:r w:rsidRPr="008746C6">
              <w:rPr>
                <w:rFonts w:eastAsia="Calibri"/>
              </w:rPr>
              <w:t>Seventh</w:t>
            </w:r>
            <w:proofErr w:type="spellEnd"/>
            <w:r w:rsidRPr="008746C6">
              <w:rPr>
                <w:rFonts w:eastAsia="Calibri"/>
              </w:rPr>
              <w:t xml:space="preserve"> Sea, Warszawa 2008;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Tryzno</w:t>
            </w:r>
            <w:r w:rsidRPr="008746C6">
              <w:rPr>
                <w:rFonts w:eastAsia="Calibri"/>
                <w:i/>
              </w:rPr>
              <w:t>, Diagnoza edukacyjna dzieci 6-, 7-letnich rozpoczynających naukę</w:t>
            </w:r>
            <w:r w:rsidRPr="008746C6">
              <w:rPr>
                <w:rFonts w:eastAsia="Calibri"/>
              </w:rPr>
              <w:t xml:space="preserve">. </w:t>
            </w:r>
            <w:r w:rsidRPr="008746C6">
              <w:rPr>
                <w:rFonts w:eastAsia="Calibri"/>
              </w:rPr>
              <w:lastRenderedPageBreak/>
              <w:t xml:space="preserve">Harmonia, Gdańsk </w:t>
            </w:r>
            <w:proofErr w:type="spellStart"/>
            <w:r w:rsidRPr="008746C6">
              <w:rPr>
                <w:rFonts w:eastAsia="Calibri"/>
              </w:rPr>
              <w:t>brw</w:t>
            </w:r>
            <w:proofErr w:type="spellEnd"/>
            <w:r w:rsidRPr="008746C6">
              <w:rPr>
                <w:rFonts w:eastAsia="Calibri"/>
              </w:rPr>
              <w:t>.;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B. </w:t>
            </w:r>
            <w:proofErr w:type="spellStart"/>
            <w:r w:rsidRPr="008746C6">
              <w:rPr>
                <w:rFonts w:eastAsia="Calibri"/>
              </w:rPr>
              <w:t>Wilgocka-Okoń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Gotowość szkolna dzieci sześcioletnich</w:t>
            </w:r>
            <w:r w:rsidRPr="008746C6">
              <w:rPr>
                <w:rFonts w:eastAsia="Calibri"/>
              </w:rPr>
              <w:t>. Wyd. Żak, Warszawa 2003;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U. </w:t>
            </w:r>
            <w:proofErr w:type="spellStart"/>
            <w:r w:rsidRPr="008746C6">
              <w:rPr>
                <w:rFonts w:eastAsia="Calibri"/>
              </w:rPr>
              <w:t>Oszwa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Wczesna diagnoza dziecięcych trudności w liczeniu. Wybrane zagadnienia</w:t>
            </w:r>
            <w:r w:rsidRPr="008746C6">
              <w:rPr>
                <w:rFonts w:eastAsia="Calibri"/>
              </w:rPr>
              <w:t>. Impuls, Kraków 2008;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8746C6">
              <w:rPr>
                <w:rFonts w:eastAsia="Calibri"/>
              </w:rPr>
              <w:t xml:space="preserve">U. </w:t>
            </w:r>
            <w:proofErr w:type="spellStart"/>
            <w:r w:rsidRPr="008746C6">
              <w:rPr>
                <w:rFonts w:eastAsia="Calibri"/>
              </w:rPr>
              <w:t>Oszwa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Zaburzenia rozwoju umiejętności arytmetycznych. Problem diagnozy i terapii</w:t>
            </w:r>
            <w:r w:rsidRPr="008746C6">
              <w:rPr>
                <w:rFonts w:eastAsia="Calibri"/>
              </w:rPr>
              <w:t>. Impuls, Kraków 2005.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  <w:smallCaps/>
        </w:rPr>
      </w:pPr>
      <w:r w:rsidRPr="003A2320">
        <w:rPr>
          <w:rFonts w:eastAsia="Calibri"/>
        </w:rPr>
        <w:t>Akceptacja Kierownika Jednostki lub osoby upoważnionej</w:t>
      </w:r>
    </w:p>
    <w:p w:rsidR="003A2320" w:rsidRPr="003A2320" w:rsidRDefault="003A2320" w:rsidP="003A2320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A6544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440" w:rsidRDefault="00A65440" w:rsidP="003A2320">
      <w:pPr>
        <w:spacing w:after="0" w:line="240" w:lineRule="auto"/>
      </w:pPr>
      <w:r>
        <w:separator/>
      </w:r>
    </w:p>
  </w:endnote>
  <w:endnote w:type="continuationSeparator" w:id="0">
    <w:p w:rsidR="00A65440" w:rsidRDefault="00A65440" w:rsidP="003A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440" w:rsidRDefault="00A65440" w:rsidP="003A2320">
      <w:pPr>
        <w:spacing w:after="0" w:line="240" w:lineRule="auto"/>
      </w:pPr>
      <w:r>
        <w:separator/>
      </w:r>
    </w:p>
  </w:footnote>
  <w:footnote w:type="continuationSeparator" w:id="0">
    <w:p w:rsidR="00A65440" w:rsidRDefault="00A65440" w:rsidP="003A2320">
      <w:pPr>
        <w:spacing w:after="0" w:line="240" w:lineRule="auto"/>
      </w:pPr>
      <w:r>
        <w:continuationSeparator/>
      </w:r>
    </w:p>
  </w:footnote>
  <w:footnote w:id="1">
    <w:p w:rsidR="003A2320" w:rsidRDefault="003A2320" w:rsidP="003A23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356CE"/>
    <w:multiLevelType w:val="hybridMultilevel"/>
    <w:tmpl w:val="AC828E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41057D"/>
    <w:multiLevelType w:val="hybridMultilevel"/>
    <w:tmpl w:val="7DE63DA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320"/>
    <w:rsid w:val="001416D1"/>
    <w:rsid w:val="0015373C"/>
    <w:rsid w:val="001B2572"/>
    <w:rsid w:val="002A287E"/>
    <w:rsid w:val="003A2320"/>
    <w:rsid w:val="0046281D"/>
    <w:rsid w:val="004B0991"/>
    <w:rsid w:val="00563891"/>
    <w:rsid w:val="00670019"/>
    <w:rsid w:val="008746C6"/>
    <w:rsid w:val="008B34E1"/>
    <w:rsid w:val="00A65440"/>
    <w:rsid w:val="00CB000D"/>
    <w:rsid w:val="00E57A8F"/>
    <w:rsid w:val="00F4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0D9FC"/>
  <w15:docId w15:val="{B6552A71-7C4D-4AF2-8724-D45BF092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Sekcja Jakości i Akr. KNS</cp:lastModifiedBy>
  <cp:revision>9</cp:revision>
  <dcterms:created xsi:type="dcterms:W3CDTF">2019-12-02T16:32:00Z</dcterms:created>
  <dcterms:modified xsi:type="dcterms:W3CDTF">2021-09-07T07:30:00Z</dcterms:modified>
</cp:coreProperties>
</file>