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E27894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244A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244AE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E7DBAC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CA642C">
        <w:rPr>
          <w:rFonts w:ascii="Corbel" w:hAnsi="Corbel"/>
          <w:b/>
          <w:i/>
          <w:smallCaps/>
          <w:sz w:val="24"/>
          <w:szCs w:val="24"/>
        </w:rPr>
        <w:t>3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CA642C">
        <w:rPr>
          <w:rFonts w:ascii="Corbel" w:hAnsi="Corbel"/>
          <w:b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DF5A5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CA642C">
        <w:rPr>
          <w:rFonts w:ascii="Corbel" w:hAnsi="Corbel"/>
          <w:b/>
          <w:sz w:val="20"/>
          <w:szCs w:val="20"/>
        </w:rPr>
        <w:t>4</w:t>
      </w:r>
      <w:r w:rsidR="00433A5F">
        <w:rPr>
          <w:rFonts w:ascii="Corbel" w:hAnsi="Corbel"/>
          <w:b/>
          <w:sz w:val="20"/>
          <w:szCs w:val="20"/>
        </w:rPr>
        <w:t>/202</w:t>
      </w:r>
      <w:r w:rsidR="00CA642C">
        <w:rPr>
          <w:rFonts w:ascii="Corbel" w:hAnsi="Corbel"/>
          <w:b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6EA0DFBC" w:rsidR="00B06E9A" w:rsidRPr="009C54AE" w:rsidRDefault="001924E3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A0E0D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2CEFF969" w:rsidR="00015B8F" w:rsidRPr="009C54AE" w:rsidRDefault="001924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2DC98298" w:rsidR="0085747A" w:rsidRPr="009C54AE" w:rsidRDefault="00C61DC5" w:rsidP="00324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51236E9" w:rsidR="0085747A" w:rsidRPr="009C54AE" w:rsidRDefault="001924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F91E96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5ED87E1C" w:rsidR="00C61DC5" w:rsidRPr="009C54AE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4EE64DE" w14:textId="77777777" w:rsidR="00136DC8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B64510" w:rsidR="00C61DC5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43B7E119" w:rsidR="00290D57" w:rsidRPr="009C54AE" w:rsidRDefault="005510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7643D48A" w14:textId="77777777" w:rsidR="00EC134F" w:rsidRPr="009C54AE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33DB0B0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B021D6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500ED6AC" w14:textId="77777777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6980337B" w14:textId="644E6CB5" w:rsidR="00EC134F" w:rsidRDefault="00EC134F" w:rsidP="00E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-przygotowanie do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316FA4BA" w14:textId="56929F79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C84065" w14:textId="466BE0F5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B4968B" w14:textId="77777777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212171C" w14:textId="115068C5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EB1F68" w14:textId="48F8E95C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92FEE38" w14:textId="16FEB399" w:rsidR="00EC134F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43CBED6" w14:textId="4F6CB85F" w:rsidR="00EC134F" w:rsidRDefault="00136D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30F43D2" w14:textId="2B842FF1" w:rsidR="00EC134F" w:rsidRPr="009C54AE" w:rsidRDefault="00EC13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Hattie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4A73FC28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Lib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W., </w:t>
            </w: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Walat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2015.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proofErr w:type="spellStart"/>
            <w:r w:rsidRPr="00740499">
              <w:rPr>
                <w:rFonts w:ascii="Corbel" w:hAnsi="Corbel" w:cstheme="minorHAnsi"/>
              </w:rPr>
              <w:t>Brudnik</w:t>
            </w:r>
            <w:proofErr w:type="spellEnd"/>
            <w:r w:rsidRPr="00740499">
              <w:rPr>
                <w:rFonts w:ascii="Corbel" w:hAnsi="Corbel" w:cstheme="minorHAnsi"/>
              </w:rPr>
              <w:t xml:space="preserve">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2787" w14:textId="77777777" w:rsidR="00D85E67" w:rsidRDefault="00D85E67" w:rsidP="00C16ABF">
      <w:pPr>
        <w:spacing w:after="0" w:line="240" w:lineRule="auto"/>
      </w:pPr>
      <w:r>
        <w:separator/>
      </w:r>
    </w:p>
  </w:endnote>
  <w:endnote w:type="continuationSeparator" w:id="0">
    <w:p w14:paraId="7DD33694" w14:textId="77777777" w:rsidR="00D85E67" w:rsidRDefault="00D85E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3B0FC" w14:textId="77777777" w:rsidR="00D85E67" w:rsidRDefault="00D85E67" w:rsidP="00C16ABF">
      <w:pPr>
        <w:spacing w:after="0" w:line="240" w:lineRule="auto"/>
      </w:pPr>
      <w:r>
        <w:separator/>
      </w:r>
    </w:p>
  </w:footnote>
  <w:footnote w:type="continuationSeparator" w:id="0">
    <w:p w14:paraId="50BD2A35" w14:textId="77777777" w:rsidR="00D85E67" w:rsidRDefault="00D85E6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36DC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4E3"/>
    <w:rsid w:val="00192F37"/>
    <w:rsid w:val="001A70D2"/>
    <w:rsid w:val="001D657B"/>
    <w:rsid w:val="001D7B54"/>
    <w:rsid w:val="001E0209"/>
    <w:rsid w:val="001F2169"/>
    <w:rsid w:val="001F2CA2"/>
    <w:rsid w:val="002057ED"/>
    <w:rsid w:val="002144C0"/>
    <w:rsid w:val="0022468E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244AE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7B2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510D0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0632E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D28E7"/>
    <w:rsid w:val="009E3B41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2A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A642C"/>
    <w:rsid w:val="00CB42CB"/>
    <w:rsid w:val="00CC0147"/>
    <w:rsid w:val="00CD6897"/>
    <w:rsid w:val="00CE5BAC"/>
    <w:rsid w:val="00CF25BE"/>
    <w:rsid w:val="00CF561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67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34F"/>
    <w:rsid w:val="00EC1EFF"/>
    <w:rsid w:val="00EC489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C94C4-BD61-429D-AD68-19C45607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1434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2019-12-06T09:58:00Z</cp:lastPrinted>
  <dcterms:created xsi:type="dcterms:W3CDTF">2019-11-20T17:00:00Z</dcterms:created>
  <dcterms:modified xsi:type="dcterms:W3CDTF">2023-04-20T08:22:00Z</dcterms:modified>
</cp:coreProperties>
</file>