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C9B54" w14:textId="1351C300" w:rsidR="00184509" w:rsidRDefault="00095304">
      <w:pPr>
        <w:spacing w:line="240" w:lineRule="auto"/>
        <w:jc w:val="right"/>
        <w:rPr>
          <w:rFonts w:ascii="Corbel" w:eastAsia="Corbel" w:hAnsi="Corbel" w:cs="Corbel"/>
          <w:i/>
        </w:rPr>
      </w:pP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Corbel" w:eastAsia="Corbel" w:hAnsi="Corbel" w:cs="Corbel"/>
          <w:i/>
        </w:rPr>
        <w:t xml:space="preserve">Załącznik nr 1.5 do Zarządzenia Rektora UR  nr </w:t>
      </w:r>
      <w:r w:rsidR="000355DE">
        <w:rPr>
          <w:rFonts w:ascii="Corbel" w:eastAsia="Corbel" w:hAnsi="Corbel" w:cs="Corbel"/>
          <w:i/>
        </w:rPr>
        <w:t>12</w:t>
      </w:r>
      <w:r>
        <w:rPr>
          <w:rFonts w:ascii="Corbel" w:eastAsia="Corbel" w:hAnsi="Corbel" w:cs="Corbel"/>
          <w:i/>
        </w:rPr>
        <w:t>/20</w:t>
      </w:r>
      <w:r w:rsidR="000355DE">
        <w:rPr>
          <w:rFonts w:ascii="Corbel" w:eastAsia="Corbel" w:hAnsi="Corbel" w:cs="Corbel"/>
          <w:i/>
        </w:rPr>
        <w:t>19</w:t>
      </w:r>
    </w:p>
    <w:p w14:paraId="54EFC9EB" w14:textId="77777777" w:rsidR="00184509" w:rsidRDefault="00095304">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SYLABUS</w:t>
      </w:r>
    </w:p>
    <w:p w14:paraId="0E222580" w14:textId="3950A1DC" w:rsidR="00184509" w:rsidRDefault="00095304">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 xml:space="preserve">dotyczy cyklu kształcenia </w:t>
      </w:r>
      <w:r>
        <w:rPr>
          <w:rFonts w:ascii="Corbel" w:eastAsia="Corbel" w:hAnsi="Corbel" w:cs="Corbel"/>
          <w:i/>
          <w:smallCaps/>
          <w:sz w:val="24"/>
          <w:szCs w:val="24"/>
        </w:rPr>
        <w:t>202</w:t>
      </w:r>
      <w:r w:rsidR="00356388">
        <w:rPr>
          <w:rFonts w:ascii="Corbel" w:eastAsia="Corbel" w:hAnsi="Corbel" w:cs="Corbel"/>
          <w:i/>
          <w:smallCaps/>
          <w:sz w:val="24"/>
          <w:szCs w:val="24"/>
        </w:rPr>
        <w:t>1</w:t>
      </w:r>
      <w:r>
        <w:rPr>
          <w:rFonts w:ascii="Corbel" w:eastAsia="Corbel" w:hAnsi="Corbel" w:cs="Corbel"/>
          <w:i/>
          <w:smallCaps/>
          <w:sz w:val="24"/>
          <w:szCs w:val="24"/>
        </w:rPr>
        <w:t>-202</w:t>
      </w:r>
      <w:r w:rsidR="00356388">
        <w:rPr>
          <w:rFonts w:ascii="Corbel" w:eastAsia="Corbel" w:hAnsi="Corbel" w:cs="Corbel"/>
          <w:i/>
          <w:smallCaps/>
          <w:sz w:val="24"/>
          <w:szCs w:val="24"/>
        </w:rPr>
        <w:t>6</w:t>
      </w:r>
      <w:r>
        <w:rPr>
          <w:rFonts w:ascii="Corbel" w:eastAsia="Corbel" w:hAnsi="Corbel" w:cs="Corbel"/>
          <w:i/>
          <w:smallCaps/>
          <w:sz w:val="24"/>
          <w:szCs w:val="24"/>
        </w:rPr>
        <w:t xml:space="preserve"> </w:t>
      </w:r>
      <w:r>
        <w:rPr>
          <w:rFonts w:ascii="Corbel" w:eastAsia="Corbel" w:hAnsi="Corbel" w:cs="Corbel"/>
          <w:b/>
          <w:smallCaps/>
          <w:sz w:val="24"/>
          <w:szCs w:val="24"/>
        </w:rPr>
        <w:t xml:space="preserve"> </w:t>
      </w:r>
    </w:p>
    <w:p w14:paraId="4F054CE8" w14:textId="77777777" w:rsidR="00184509" w:rsidRDefault="00095304">
      <w:pPr>
        <w:spacing w:after="0" w:line="240" w:lineRule="auto"/>
        <w:jc w:val="center"/>
        <w:rPr>
          <w:rFonts w:ascii="Corbel" w:eastAsia="Corbel" w:hAnsi="Corbel" w:cs="Corbel"/>
          <w:sz w:val="20"/>
          <w:szCs w:val="20"/>
        </w:rPr>
      </w:pPr>
      <w:r>
        <w:rPr>
          <w:rFonts w:ascii="Corbel" w:eastAsia="Corbel" w:hAnsi="Corbel" w:cs="Corbel"/>
          <w:i/>
          <w:sz w:val="20"/>
          <w:szCs w:val="20"/>
        </w:rPr>
        <w:t>(skrajne daty</w:t>
      </w:r>
      <w:r>
        <w:rPr>
          <w:rFonts w:ascii="Corbel" w:eastAsia="Corbel" w:hAnsi="Corbel" w:cs="Corbel"/>
          <w:sz w:val="20"/>
          <w:szCs w:val="20"/>
        </w:rPr>
        <w:t>)</w:t>
      </w:r>
    </w:p>
    <w:p w14:paraId="19643CF8" w14:textId="2F37E8AC" w:rsidR="00184509" w:rsidRDefault="00095304">
      <w:pPr>
        <w:spacing w:after="0" w:line="240" w:lineRule="auto"/>
        <w:jc w:val="center"/>
        <w:rPr>
          <w:rFonts w:ascii="Corbel" w:eastAsia="Corbel" w:hAnsi="Corbel" w:cs="Corbel"/>
          <w:sz w:val="20"/>
          <w:szCs w:val="20"/>
        </w:rPr>
      </w:pPr>
      <w:r>
        <w:rPr>
          <w:rFonts w:ascii="Corbel" w:eastAsia="Corbel" w:hAnsi="Corbel" w:cs="Corbel"/>
          <w:sz w:val="20"/>
          <w:szCs w:val="20"/>
        </w:rPr>
        <w:t>Rok akademicki 202</w:t>
      </w:r>
      <w:r w:rsidR="00356388">
        <w:rPr>
          <w:rFonts w:ascii="Corbel" w:eastAsia="Corbel" w:hAnsi="Corbel" w:cs="Corbel"/>
          <w:sz w:val="20"/>
          <w:szCs w:val="20"/>
        </w:rPr>
        <w:t>3</w:t>
      </w:r>
      <w:r>
        <w:rPr>
          <w:rFonts w:ascii="Corbel" w:eastAsia="Corbel" w:hAnsi="Corbel" w:cs="Corbel"/>
          <w:sz w:val="20"/>
          <w:szCs w:val="20"/>
        </w:rPr>
        <w:t>/202</w:t>
      </w:r>
      <w:r w:rsidR="00356388">
        <w:rPr>
          <w:rFonts w:ascii="Corbel" w:eastAsia="Corbel" w:hAnsi="Corbel" w:cs="Corbel"/>
          <w:sz w:val="20"/>
          <w:szCs w:val="20"/>
        </w:rPr>
        <w:t>4</w:t>
      </w:r>
    </w:p>
    <w:p w14:paraId="3583C405" w14:textId="77777777" w:rsidR="00184509" w:rsidRDefault="00184509">
      <w:pPr>
        <w:spacing w:after="0" w:line="240" w:lineRule="auto"/>
        <w:rPr>
          <w:rFonts w:ascii="Corbel" w:eastAsia="Corbel" w:hAnsi="Corbel" w:cs="Corbel"/>
          <w:sz w:val="24"/>
          <w:szCs w:val="24"/>
        </w:rPr>
      </w:pPr>
    </w:p>
    <w:p w14:paraId="1B03CA10" w14:textId="77777777" w:rsidR="00184509" w:rsidRDefault="00095304">
      <w:pPr>
        <w:pBdr>
          <w:top w:val="nil"/>
          <w:left w:val="nil"/>
          <w:bottom w:val="nil"/>
          <w:right w:val="nil"/>
          <w:between w:val="nil"/>
        </w:pBdr>
        <w:spacing w:after="0" w:line="240" w:lineRule="auto"/>
        <w:rPr>
          <w:rFonts w:ascii="Corbel" w:eastAsia="Corbel" w:hAnsi="Corbel" w:cs="Corbel"/>
          <w:b/>
          <w:smallCaps/>
          <w:color w:val="0070C0"/>
          <w:sz w:val="24"/>
          <w:szCs w:val="24"/>
        </w:rPr>
      </w:pPr>
      <w:r>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184509" w14:paraId="1914763A" w14:textId="77777777">
        <w:tc>
          <w:tcPr>
            <w:tcW w:w="2694" w:type="dxa"/>
            <w:vAlign w:val="center"/>
          </w:tcPr>
          <w:p w14:paraId="7B6B7DE8"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przedmiotu</w:t>
            </w:r>
          </w:p>
        </w:tc>
        <w:tc>
          <w:tcPr>
            <w:tcW w:w="7087" w:type="dxa"/>
            <w:vAlign w:val="center"/>
          </w:tcPr>
          <w:p w14:paraId="65CA3307" w14:textId="77777777" w:rsidR="00184509" w:rsidRDefault="00095304">
            <w:pPr>
              <w:pBdr>
                <w:top w:val="nil"/>
                <w:left w:val="nil"/>
                <w:bottom w:val="nil"/>
                <w:right w:val="nil"/>
                <w:between w:val="nil"/>
              </w:pBdr>
              <w:spacing w:before="40" w:after="40" w:line="240" w:lineRule="auto"/>
              <w:rPr>
                <w:rFonts w:ascii="Corbel" w:eastAsia="Corbel" w:hAnsi="Corbel" w:cs="Corbel"/>
                <w:b/>
                <w:color w:val="000000"/>
                <w:sz w:val="24"/>
                <w:szCs w:val="24"/>
              </w:rPr>
            </w:pPr>
            <w:r>
              <w:rPr>
                <w:rFonts w:ascii="Corbel" w:eastAsia="Corbel" w:hAnsi="Corbel" w:cs="Corbel"/>
                <w:b/>
                <w:color w:val="000000"/>
                <w:sz w:val="24"/>
                <w:szCs w:val="24"/>
              </w:rPr>
              <w:t>Ekspertyza kryminalistyczna</w:t>
            </w:r>
          </w:p>
        </w:tc>
      </w:tr>
      <w:tr w:rsidR="00184509" w14:paraId="0DFAE672" w14:textId="77777777">
        <w:tc>
          <w:tcPr>
            <w:tcW w:w="2694" w:type="dxa"/>
            <w:vAlign w:val="center"/>
          </w:tcPr>
          <w:p w14:paraId="41084B03"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Kod przedmiotu*</w:t>
            </w:r>
          </w:p>
        </w:tc>
        <w:tc>
          <w:tcPr>
            <w:tcW w:w="7087" w:type="dxa"/>
            <w:vAlign w:val="center"/>
          </w:tcPr>
          <w:p w14:paraId="763297EA" w14:textId="77777777" w:rsidR="00184509" w:rsidRDefault="00184509">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184509" w14:paraId="3BB8BCF9" w14:textId="77777777">
        <w:tc>
          <w:tcPr>
            <w:tcW w:w="2694" w:type="dxa"/>
            <w:vAlign w:val="center"/>
          </w:tcPr>
          <w:p w14:paraId="6D674F65" w14:textId="77777777" w:rsidR="00184509" w:rsidRDefault="00095304">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nazwa jednostki prowadzącej kierunek</w:t>
            </w:r>
          </w:p>
        </w:tc>
        <w:tc>
          <w:tcPr>
            <w:tcW w:w="7087" w:type="dxa"/>
            <w:vAlign w:val="center"/>
          </w:tcPr>
          <w:p w14:paraId="2F5DC76F"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Kolegium Nauk Społecznych</w:t>
            </w:r>
          </w:p>
        </w:tc>
      </w:tr>
      <w:tr w:rsidR="00184509" w14:paraId="3B7553D8" w14:textId="77777777">
        <w:tc>
          <w:tcPr>
            <w:tcW w:w="2694" w:type="dxa"/>
            <w:vAlign w:val="center"/>
          </w:tcPr>
          <w:p w14:paraId="39367985"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jednostki realizującej przedmiot</w:t>
            </w:r>
          </w:p>
        </w:tc>
        <w:tc>
          <w:tcPr>
            <w:tcW w:w="7087" w:type="dxa"/>
            <w:vAlign w:val="center"/>
          </w:tcPr>
          <w:p w14:paraId="79E0ADB8" w14:textId="77777777" w:rsidR="00184509" w:rsidRDefault="00095304">
            <w:pPr>
              <w:pBdr>
                <w:top w:val="nil"/>
                <w:left w:val="nil"/>
                <w:bottom w:val="nil"/>
                <w:right w:val="nil"/>
                <w:between w:val="nil"/>
              </w:pBdr>
              <w:spacing w:before="40" w:after="40" w:line="240" w:lineRule="auto"/>
              <w:rPr>
                <w:rFonts w:ascii="Corbel" w:eastAsia="Corbel" w:hAnsi="Corbel" w:cs="Corbel"/>
                <w:sz w:val="24"/>
                <w:szCs w:val="24"/>
              </w:rPr>
            </w:pPr>
            <w:r>
              <w:rPr>
                <w:rFonts w:ascii="Corbel" w:eastAsia="Corbel" w:hAnsi="Corbel" w:cs="Corbel"/>
                <w:color w:val="000000"/>
                <w:sz w:val="24"/>
                <w:szCs w:val="24"/>
              </w:rPr>
              <w:t xml:space="preserve">Instytut Nauk Prawnych, </w:t>
            </w:r>
            <w:r>
              <w:rPr>
                <w:rFonts w:ascii="Corbel" w:eastAsia="Corbel" w:hAnsi="Corbel" w:cs="Corbel"/>
                <w:sz w:val="24"/>
                <w:szCs w:val="24"/>
              </w:rPr>
              <w:t xml:space="preserve">Pracownia Kryminologii oraz Pracownia Kryminologii i Suicydologii </w:t>
            </w:r>
          </w:p>
        </w:tc>
      </w:tr>
      <w:tr w:rsidR="00184509" w14:paraId="307C8658" w14:textId="77777777">
        <w:tc>
          <w:tcPr>
            <w:tcW w:w="2694" w:type="dxa"/>
            <w:vAlign w:val="center"/>
          </w:tcPr>
          <w:p w14:paraId="1F1E63CE"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Kierunek studiów</w:t>
            </w:r>
          </w:p>
        </w:tc>
        <w:tc>
          <w:tcPr>
            <w:tcW w:w="7087" w:type="dxa"/>
            <w:vAlign w:val="center"/>
          </w:tcPr>
          <w:p w14:paraId="6BE7A39C"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Prawo</w:t>
            </w:r>
          </w:p>
        </w:tc>
      </w:tr>
      <w:tr w:rsidR="00184509" w14:paraId="37684D6B" w14:textId="77777777">
        <w:tc>
          <w:tcPr>
            <w:tcW w:w="2694" w:type="dxa"/>
            <w:vAlign w:val="center"/>
          </w:tcPr>
          <w:p w14:paraId="343A9C63"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Poziom studiów</w:t>
            </w:r>
          </w:p>
        </w:tc>
        <w:tc>
          <w:tcPr>
            <w:tcW w:w="7087" w:type="dxa"/>
            <w:vAlign w:val="center"/>
          </w:tcPr>
          <w:p w14:paraId="478E4134"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Jednolite studia magisterskie</w:t>
            </w:r>
          </w:p>
        </w:tc>
      </w:tr>
      <w:tr w:rsidR="00184509" w14:paraId="52327BE2" w14:textId="77777777">
        <w:tc>
          <w:tcPr>
            <w:tcW w:w="2694" w:type="dxa"/>
            <w:vAlign w:val="center"/>
          </w:tcPr>
          <w:p w14:paraId="376EE06E"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Profil</w:t>
            </w:r>
          </w:p>
        </w:tc>
        <w:tc>
          <w:tcPr>
            <w:tcW w:w="7087" w:type="dxa"/>
            <w:vAlign w:val="center"/>
          </w:tcPr>
          <w:p w14:paraId="33A4BEA4"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Ogólnoakademicki</w:t>
            </w:r>
          </w:p>
        </w:tc>
      </w:tr>
      <w:tr w:rsidR="00184509" w14:paraId="75357BC0" w14:textId="77777777">
        <w:tc>
          <w:tcPr>
            <w:tcW w:w="2694" w:type="dxa"/>
            <w:vAlign w:val="center"/>
          </w:tcPr>
          <w:p w14:paraId="75C772ED"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Forma studiów</w:t>
            </w:r>
          </w:p>
        </w:tc>
        <w:tc>
          <w:tcPr>
            <w:tcW w:w="7087" w:type="dxa"/>
            <w:vAlign w:val="center"/>
          </w:tcPr>
          <w:p w14:paraId="7F90E887"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Stacjonarne</w:t>
            </w:r>
          </w:p>
        </w:tc>
      </w:tr>
      <w:tr w:rsidR="00184509" w14:paraId="3428F951" w14:textId="77777777">
        <w:tc>
          <w:tcPr>
            <w:tcW w:w="2694" w:type="dxa"/>
            <w:vAlign w:val="center"/>
          </w:tcPr>
          <w:p w14:paraId="1FD96692"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semestr/y studiów</w:t>
            </w:r>
          </w:p>
        </w:tc>
        <w:tc>
          <w:tcPr>
            <w:tcW w:w="7087" w:type="dxa"/>
            <w:vAlign w:val="center"/>
          </w:tcPr>
          <w:p w14:paraId="72409F37"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III, semestr VI</w:t>
            </w:r>
          </w:p>
        </w:tc>
      </w:tr>
      <w:tr w:rsidR="00184509" w14:paraId="13E3E803" w14:textId="77777777">
        <w:tc>
          <w:tcPr>
            <w:tcW w:w="2694" w:type="dxa"/>
            <w:vAlign w:val="center"/>
          </w:tcPr>
          <w:p w14:paraId="22F1677A"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Rodzaj przedmiotu</w:t>
            </w:r>
          </w:p>
        </w:tc>
        <w:tc>
          <w:tcPr>
            <w:tcW w:w="7087" w:type="dxa"/>
            <w:vAlign w:val="center"/>
          </w:tcPr>
          <w:p w14:paraId="221B7F00"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Fakultatywny</w:t>
            </w:r>
          </w:p>
        </w:tc>
      </w:tr>
      <w:tr w:rsidR="00184509" w14:paraId="3B7F0B6E" w14:textId="77777777">
        <w:tc>
          <w:tcPr>
            <w:tcW w:w="2694" w:type="dxa"/>
            <w:vAlign w:val="center"/>
          </w:tcPr>
          <w:p w14:paraId="294879BB"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Język wykładowy</w:t>
            </w:r>
          </w:p>
        </w:tc>
        <w:tc>
          <w:tcPr>
            <w:tcW w:w="7087" w:type="dxa"/>
            <w:vAlign w:val="center"/>
          </w:tcPr>
          <w:p w14:paraId="5C72CF14"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Polski</w:t>
            </w:r>
          </w:p>
        </w:tc>
      </w:tr>
      <w:tr w:rsidR="00184509" w14:paraId="61AFBE4D" w14:textId="77777777">
        <w:tc>
          <w:tcPr>
            <w:tcW w:w="2694" w:type="dxa"/>
            <w:vAlign w:val="center"/>
          </w:tcPr>
          <w:p w14:paraId="13E65AA6"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Koordynator</w:t>
            </w:r>
          </w:p>
        </w:tc>
        <w:tc>
          <w:tcPr>
            <w:tcW w:w="7087" w:type="dxa"/>
            <w:vAlign w:val="center"/>
          </w:tcPr>
          <w:p w14:paraId="07304410"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Dorota Semków</w:t>
            </w:r>
          </w:p>
        </w:tc>
      </w:tr>
      <w:tr w:rsidR="00184509" w14:paraId="2F5D657E" w14:textId="77777777">
        <w:tc>
          <w:tcPr>
            <w:tcW w:w="2694" w:type="dxa"/>
            <w:vAlign w:val="center"/>
          </w:tcPr>
          <w:p w14:paraId="2E247B6C" w14:textId="77777777" w:rsidR="00184509" w:rsidRDefault="00095304">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Imię i nazwisko osoby prowadzącej / osób prowadzących</w:t>
            </w:r>
          </w:p>
        </w:tc>
        <w:tc>
          <w:tcPr>
            <w:tcW w:w="7087" w:type="dxa"/>
            <w:vAlign w:val="center"/>
          </w:tcPr>
          <w:p w14:paraId="489FA3D8"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Dorota Semków, dr Karol Bajda, mgr Magdalena Kruczek,</w:t>
            </w:r>
            <w:r>
              <w:rPr>
                <w:rFonts w:ascii="Corbel" w:eastAsia="Corbel" w:hAnsi="Corbel" w:cs="Corbel"/>
                <w:color w:val="000000"/>
                <w:sz w:val="24"/>
                <w:szCs w:val="24"/>
              </w:rPr>
              <w:br/>
              <w:t xml:space="preserve"> mgr Aleksandra Pelczar</w:t>
            </w:r>
          </w:p>
        </w:tc>
      </w:tr>
    </w:tbl>
    <w:p w14:paraId="2D0B6C50" w14:textId="77777777" w:rsidR="00184509" w:rsidRDefault="00095304">
      <w:pPr>
        <w:pBdr>
          <w:top w:val="nil"/>
          <w:left w:val="nil"/>
          <w:bottom w:val="nil"/>
          <w:right w:val="nil"/>
          <w:between w:val="nil"/>
        </w:pBdr>
        <w:tabs>
          <w:tab w:val="left" w:pos="-5814"/>
        </w:tabs>
        <w:spacing w:before="280" w:after="280" w:line="240" w:lineRule="auto"/>
        <w:jc w:val="both"/>
        <w:rPr>
          <w:rFonts w:ascii="Corbel" w:eastAsia="Corbel" w:hAnsi="Corbel" w:cs="Corbel"/>
          <w:b/>
          <w:color w:val="000000"/>
          <w:sz w:val="24"/>
          <w:szCs w:val="24"/>
        </w:rPr>
      </w:pPr>
      <w:r>
        <w:rPr>
          <w:rFonts w:ascii="Corbel" w:eastAsia="Corbel" w:hAnsi="Corbel" w:cs="Corbel"/>
          <w:b/>
          <w:color w:val="000000"/>
          <w:sz w:val="24"/>
          <w:szCs w:val="24"/>
        </w:rPr>
        <w:t xml:space="preserve">* </w:t>
      </w:r>
      <w:r>
        <w:rPr>
          <w:rFonts w:ascii="Corbel" w:eastAsia="Corbel" w:hAnsi="Corbel" w:cs="Corbel"/>
          <w:b/>
          <w:i/>
          <w:color w:val="000000"/>
          <w:sz w:val="24"/>
          <w:szCs w:val="24"/>
        </w:rPr>
        <w:t>-</w:t>
      </w:r>
      <w:r>
        <w:rPr>
          <w:rFonts w:ascii="Corbel" w:eastAsia="Corbel" w:hAnsi="Corbel" w:cs="Corbel"/>
          <w:i/>
          <w:color w:val="000000"/>
          <w:sz w:val="24"/>
          <w:szCs w:val="24"/>
        </w:rPr>
        <w:t>opcjonalni</w:t>
      </w:r>
      <w:r>
        <w:rPr>
          <w:rFonts w:ascii="Corbel" w:eastAsia="Corbel" w:hAnsi="Corbel" w:cs="Corbel"/>
          <w:color w:val="000000"/>
          <w:sz w:val="24"/>
          <w:szCs w:val="24"/>
        </w:rPr>
        <w:t>e,</w:t>
      </w:r>
      <w:r>
        <w:rPr>
          <w:rFonts w:ascii="Corbel" w:eastAsia="Corbel" w:hAnsi="Corbel" w:cs="Corbel"/>
          <w:b/>
          <w:i/>
          <w:color w:val="000000"/>
          <w:sz w:val="24"/>
          <w:szCs w:val="24"/>
        </w:rPr>
        <w:t xml:space="preserve"> </w:t>
      </w:r>
      <w:r>
        <w:rPr>
          <w:rFonts w:ascii="Corbel" w:eastAsia="Corbel" w:hAnsi="Corbel" w:cs="Corbel"/>
          <w:i/>
          <w:color w:val="000000"/>
          <w:sz w:val="24"/>
          <w:szCs w:val="24"/>
        </w:rPr>
        <w:t>zgodnie z ustaleniami w Jednostce</w:t>
      </w:r>
    </w:p>
    <w:p w14:paraId="2A47153A" w14:textId="77777777" w:rsidR="00184509" w:rsidRDefault="00095304">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Pr>
          <w:rFonts w:ascii="Corbel" w:eastAsia="Corbel" w:hAnsi="Corbel" w:cs="Corbel"/>
          <w:b/>
          <w:color w:val="000000"/>
          <w:sz w:val="24"/>
          <w:szCs w:val="24"/>
        </w:rPr>
        <w:t xml:space="preserve">1.1.Formy zajęć dydaktycznych, wymiar godzin i punktów ECTS </w:t>
      </w:r>
    </w:p>
    <w:p w14:paraId="04061596" w14:textId="77777777" w:rsidR="00184509" w:rsidRDefault="00184509">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9"/>
        <w:gridCol w:w="913"/>
        <w:gridCol w:w="788"/>
        <w:gridCol w:w="851"/>
        <w:gridCol w:w="801"/>
        <w:gridCol w:w="821"/>
        <w:gridCol w:w="763"/>
        <w:gridCol w:w="948"/>
        <w:gridCol w:w="1189"/>
        <w:gridCol w:w="1505"/>
      </w:tblGrid>
      <w:tr w:rsidR="00184509" w14:paraId="5B401063" w14:textId="77777777">
        <w:tc>
          <w:tcPr>
            <w:tcW w:w="1049" w:type="dxa"/>
            <w:tcBorders>
              <w:top w:val="single" w:sz="4" w:space="0" w:color="000000"/>
              <w:left w:val="single" w:sz="4" w:space="0" w:color="000000"/>
              <w:bottom w:val="single" w:sz="4" w:space="0" w:color="000000"/>
              <w:right w:val="single" w:sz="4" w:space="0" w:color="000000"/>
            </w:tcBorders>
          </w:tcPr>
          <w:p w14:paraId="7876C1DA"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Semestr</w:t>
            </w:r>
          </w:p>
          <w:p w14:paraId="7EF7C865"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02CFC2CE"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Wykł.</w:t>
            </w:r>
          </w:p>
        </w:tc>
        <w:tc>
          <w:tcPr>
            <w:tcW w:w="788" w:type="dxa"/>
            <w:tcBorders>
              <w:top w:val="single" w:sz="4" w:space="0" w:color="000000"/>
              <w:left w:val="single" w:sz="4" w:space="0" w:color="000000"/>
              <w:bottom w:val="single" w:sz="4" w:space="0" w:color="000000"/>
              <w:right w:val="single" w:sz="4" w:space="0" w:color="000000"/>
            </w:tcBorders>
            <w:vAlign w:val="center"/>
          </w:tcPr>
          <w:p w14:paraId="777112E7"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Ćw.</w:t>
            </w:r>
          </w:p>
        </w:tc>
        <w:tc>
          <w:tcPr>
            <w:tcW w:w="851" w:type="dxa"/>
            <w:tcBorders>
              <w:top w:val="single" w:sz="4" w:space="0" w:color="000000"/>
              <w:left w:val="single" w:sz="4" w:space="0" w:color="000000"/>
              <w:bottom w:val="single" w:sz="4" w:space="0" w:color="000000"/>
              <w:right w:val="single" w:sz="4" w:space="0" w:color="000000"/>
            </w:tcBorders>
            <w:vAlign w:val="center"/>
          </w:tcPr>
          <w:p w14:paraId="47EF1F5B"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Konw.</w:t>
            </w:r>
          </w:p>
        </w:tc>
        <w:tc>
          <w:tcPr>
            <w:tcW w:w="801" w:type="dxa"/>
            <w:tcBorders>
              <w:top w:val="single" w:sz="4" w:space="0" w:color="000000"/>
              <w:left w:val="single" w:sz="4" w:space="0" w:color="000000"/>
              <w:bottom w:val="single" w:sz="4" w:space="0" w:color="000000"/>
              <w:right w:val="single" w:sz="4" w:space="0" w:color="000000"/>
            </w:tcBorders>
            <w:vAlign w:val="center"/>
          </w:tcPr>
          <w:p w14:paraId="3B92C525"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08A1E32D"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Sem.</w:t>
            </w:r>
          </w:p>
        </w:tc>
        <w:tc>
          <w:tcPr>
            <w:tcW w:w="763" w:type="dxa"/>
            <w:tcBorders>
              <w:top w:val="single" w:sz="4" w:space="0" w:color="000000"/>
              <w:left w:val="single" w:sz="4" w:space="0" w:color="000000"/>
              <w:bottom w:val="single" w:sz="4" w:space="0" w:color="000000"/>
              <w:right w:val="single" w:sz="4" w:space="0" w:color="000000"/>
            </w:tcBorders>
            <w:vAlign w:val="center"/>
          </w:tcPr>
          <w:p w14:paraId="4594FACE"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7F669948"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Prakt.</w:t>
            </w:r>
          </w:p>
        </w:tc>
        <w:tc>
          <w:tcPr>
            <w:tcW w:w="1189" w:type="dxa"/>
            <w:tcBorders>
              <w:top w:val="single" w:sz="4" w:space="0" w:color="000000"/>
              <w:left w:val="single" w:sz="4" w:space="0" w:color="000000"/>
              <w:bottom w:val="single" w:sz="4" w:space="0" w:color="000000"/>
              <w:right w:val="single" w:sz="4" w:space="0" w:color="000000"/>
            </w:tcBorders>
            <w:vAlign w:val="center"/>
          </w:tcPr>
          <w:p w14:paraId="1E13674E" w14:textId="77777777" w:rsidR="00184509" w:rsidRDefault="00095304">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696ED075" w14:textId="77777777" w:rsidR="00184509" w:rsidRDefault="00095304">
            <w:pPr>
              <w:pBdr>
                <w:top w:val="nil"/>
                <w:left w:val="nil"/>
                <w:bottom w:val="nil"/>
                <w:right w:val="nil"/>
                <w:between w:val="nil"/>
              </w:pBdr>
              <w:spacing w:after="12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Liczba pkt. ECTS</w:t>
            </w:r>
          </w:p>
        </w:tc>
      </w:tr>
      <w:tr w:rsidR="00184509" w14:paraId="3126991C" w14:textId="77777777">
        <w:trPr>
          <w:trHeight w:val="551"/>
        </w:trPr>
        <w:tc>
          <w:tcPr>
            <w:tcW w:w="1049" w:type="dxa"/>
            <w:tcBorders>
              <w:top w:val="single" w:sz="4" w:space="0" w:color="000000"/>
              <w:left w:val="single" w:sz="4" w:space="0" w:color="000000"/>
              <w:bottom w:val="single" w:sz="4" w:space="0" w:color="000000"/>
              <w:right w:val="single" w:sz="4" w:space="0" w:color="000000"/>
            </w:tcBorders>
          </w:tcPr>
          <w:p w14:paraId="43C197C8" w14:textId="77777777" w:rsidR="00184509" w:rsidRDefault="0009530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VI</w:t>
            </w:r>
          </w:p>
        </w:tc>
        <w:tc>
          <w:tcPr>
            <w:tcW w:w="913" w:type="dxa"/>
            <w:tcBorders>
              <w:top w:val="single" w:sz="4" w:space="0" w:color="000000"/>
              <w:left w:val="single" w:sz="4" w:space="0" w:color="000000"/>
              <w:bottom w:val="single" w:sz="4" w:space="0" w:color="000000"/>
              <w:right w:val="single" w:sz="4" w:space="0" w:color="000000"/>
            </w:tcBorders>
            <w:vAlign w:val="center"/>
          </w:tcPr>
          <w:p w14:paraId="74E8AA1F" w14:textId="77777777" w:rsidR="00184509" w:rsidRDefault="00184509">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1CD358A1" w14:textId="77777777" w:rsidR="00184509" w:rsidRDefault="00184509">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2FBEB95" w14:textId="77777777" w:rsidR="00184509" w:rsidRDefault="0009530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30 </w:t>
            </w:r>
          </w:p>
        </w:tc>
        <w:tc>
          <w:tcPr>
            <w:tcW w:w="801" w:type="dxa"/>
            <w:tcBorders>
              <w:top w:val="single" w:sz="4" w:space="0" w:color="000000"/>
              <w:left w:val="single" w:sz="4" w:space="0" w:color="000000"/>
              <w:bottom w:val="single" w:sz="4" w:space="0" w:color="000000"/>
              <w:right w:val="single" w:sz="4" w:space="0" w:color="000000"/>
            </w:tcBorders>
            <w:vAlign w:val="center"/>
          </w:tcPr>
          <w:p w14:paraId="45899DD4" w14:textId="77777777" w:rsidR="00184509" w:rsidRDefault="00184509">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4B789AAB" w14:textId="77777777" w:rsidR="00184509" w:rsidRDefault="00184509">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6CD264FD" w14:textId="77777777" w:rsidR="00184509" w:rsidRDefault="00184509">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5E793A11" w14:textId="77777777" w:rsidR="00184509" w:rsidRDefault="00184509">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6BB57743" w14:textId="77777777" w:rsidR="00184509" w:rsidRDefault="00184509">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2BAD446B" w14:textId="77777777" w:rsidR="00184509" w:rsidRDefault="00095304">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4</w:t>
            </w:r>
          </w:p>
        </w:tc>
      </w:tr>
    </w:tbl>
    <w:p w14:paraId="30CC91A7" w14:textId="77777777" w:rsidR="00184509" w:rsidRDefault="00184509">
      <w:pPr>
        <w:pBdr>
          <w:top w:val="nil"/>
          <w:left w:val="nil"/>
          <w:bottom w:val="nil"/>
          <w:right w:val="nil"/>
          <w:between w:val="nil"/>
        </w:pBdr>
        <w:tabs>
          <w:tab w:val="left" w:pos="-5814"/>
        </w:tabs>
        <w:spacing w:after="0" w:line="240" w:lineRule="auto"/>
        <w:jc w:val="both"/>
        <w:rPr>
          <w:rFonts w:ascii="Corbel" w:eastAsia="Corbel" w:hAnsi="Corbel" w:cs="Corbel"/>
          <w:color w:val="000000"/>
          <w:sz w:val="24"/>
          <w:szCs w:val="24"/>
        </w:rPr>
      </w:pPr>
    </w:p>
    <w:p w14:paraId="32FC7C46" w14:textId="77777777" w:rsidR="00184509" w:rsidRDefault="00184509">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1B3863A5" w14:textId="77777777" w:rsidR="00184509" w:rsidRDefault="00095304">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r>
        <w:rPr>
          <w:rFonts w:ascii="Corbel" w:eastAsia="Corbel" w:hAnsi="Corbel" w:cs="Corbel"/>
          <w:b/>
          <w:color w:val="000000"/>
          <w:sz w:val="24"/>
          <w:szCs w:val="24"/>
        </w:rPr>
        <w:t>1.2.</w:t>
      </w:r>
      <w:r>
        <w:rPr>
          <w:rFonts w:ascii="Corbel" w:eastAsia="Corbel" w:hAnsi="Corbel" w:cs="Corbel"/>
          <w:b/>
          <w:color w:val="000000"/>
          <w:sz w:val="24"/>
          <w:szCs w:val="24"/>
        </w:rPr>
        <w:tab/>
        <w:t xml:space="preserve">Sposób realizacji zajęć  </w:t>
      </w:r>
    </w:p>
    <w:p w14:paraId="5D537F17" w14:textId="77777777" w:rsidR="00184509" w:rsidRDefault="00095304">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MS Gothic" w:eastAsia="MS Gothic" w:hAnsi="MS Gothic" w:cs="MS Gothic"/>
          <w:smallCaps/>
          <w:color w:val="000000"/>
          <w:sz w:val="24"/>
          <w:szCs w:val="24"/>
        </w:rPr>
        <w:t>x</w:t>
      </w:r>
      <w:r>
        <w:rPr>
          <w:rFonts w:ascii="Corbel" w:eastAsia="Corbel" w:hAnsi="Corbel" w:cs="Corbel"/>
          <w:color w:val="000000"/>
          <w:sz w:val="24"/>
          <w:szCs w:val="24"/>
        </w:rPr>
        <w:t xml:space="preserve"> zajęcia w formie tradycyjnej </w:t>
      </w:r>
    </w:p>
    <w:p w14:paraId="673F8080" w14:textId="0922CFD2" w:rsidR="00184509" w:rsidRDefault="00095304">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 xml:space="preserve"> zajęcia realizowane z wykorzystaniem metod i technik kształcenia na odległość</w:t>
      </w:r>
    </w:p>
    <w:p w14:paraId="0A31A4F7" w14:textId="77777777" w:rsidR="00184509" w:rsidRDefault="00184509">
      <w:pPr>
        <w:pBdr>
          <w:top w:val="nil"/>
          <w:left w:val="nil"/>
          <w:bottom w:val="nil"/>
          <w:right w:val="nil"/>
          <w:between w:val="nil"/>
        </w:pBdr>
        <w:spacing w:after="0" w:line="240" w:lineRule="auto"/>
        <w:rPr>
          <w:rFonts w:ascii="Corbel" w:eastAsia="Corbel" w:hAnsi="Corbel" w:cs="Corbel"/>
          <w:b/>
          <w:color w:val="000000"/>
          <w:sz w:val="24"/>
          <w:szCs w:val="24"/>
        </w:rPr>
      </w:pPr>
    </w:p>
    <w:p w14:paraId="2D9251E0" w14:textId="77777777" w:rsidR="00184509" w:rsidRDefault="00095304">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Pr>
          <w:rFonts w:ascii="Corbel" w:eastAsia="Corbel" w:hAnsi="Corbel" w:cs="Corbel"/>
          <w:b/>
          <w:color w:val="000000"/>
          <w:sz w:val="24"/>
          <w:szCs w:val="24"/>
        </w:rPr>
        <w:t xml:space="preserve">1.3 </w:t>
      </w:r>
      <w:r>
        <w:rPr>
          <w:rFonts w:ascii="Corbel" w:eastAsia="Corbel" w:hAnsi="Corbel" w:cs="Corbel"/>
          <w:b/>
          <w:color w:val="000000"/>
          <w:sz w:val="24"/>
          <w:szCs w:val="24"/>
        </w:rPr>
        <w:tab/>
        <w:t xml:space="preserve">Forma zaliczenia przedmiotu  (z toku) </w:t>
      </w:r>
      <w:r>
        <w:rPr>
          <w:rFonts w:ascii="Corbel" w:eastAsia="Corbel" w:hAnsi="Corbel" w:cs="Corbel"/>
          <w:color w:val="000000"/>
          <w:sz w:val="24"/>
          <w:szCs w:val="24"/>
        </w:rPr>
        <w:t>(egzamin, zaliczenie z oceną, zaliczenie bez oceny)</w:t>
      </w:r>
    </w:p>
    <w:p w14:paraId="615BD66A" w14:textId="77777777" w:rsidR="00184509" w:rsidRDefault="00184509">
      <w:pPr>
        <w:pBdr>
          <w:top w:val="nil"/>
          <w:left w:val="nil"/>
          <w:bottom w:val="nil"/>
          <w:right w:val="nil"/>
          <w:between w:val="nil"/>
        </w:pBdr>
        <w:spacing w:after="0" w:line="240" w:lineRule="auto"/>
        <w:rPr>
          <w:rFonts w:ascii="Corbel" w:eastAsia="Corbel" w:hAnsi="Corbel" w:cs="Corbel"/>
          <w:smallCaps/>
          <w:color w:val="000000"/>
          <w:sz w:val="24"/>
          <w:szCs w:val="24"/>
        </w:rPr>
      </w:pPr>
    </w:p>
    <w:p w14:paraId="1B3D8AC2"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z oceną w formie testowej lub zaliczenie ustne</w:t>
      </w:r>
    </w:p>
    <w:p w14:paraId="2300FDAF" w14:textId="77777777" w:rsidR="00184509" w:rsidRDefault="00184509">
      <w:pPr>
        <w:pBdr>
          <w:top w:val="nil"/>
          <w:left w:val="nil"/>
          <w:bottom w:val="nil"/>
          <w:right w:val="nil"/>
          <w:between w:val="nil"/>
        </w:pBdr>
        <w:spacing w:after="0" w:line="240" w:lineRule="auto"/>
        <w:rPr>
          <w:rFonts w:ascii="Corbel" w:eastAsia="Corbel" w:hAnsi="Corbel" w:cs="Corbel"/>
          <w:smallCaps/>
          <w:color w:val="000000"/>
          <w:sz w:val="24"/>
          <w:szCs w:val="24"/>
        </w:rPr>
      </w:pPr>
    </w:p>
    <w:p w14:paraId="7810E7CE" w14:textId="77777777" w:rsidR="00184509" w:rsidRDefault="00095304">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 xml:space="preserve">2.Wymagania wstępne </w:t>
      </w:r>
    </w:p>
    <w:p w14:paraId="3B99C3BF" w14:textId="77777777" w:rsidR="00184509" w:rsidRDefault="00184509">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184509" w14:paraId="6C1BB1C7" w14:textId="77777777">
        <w:tc>
          <w:tcPr>
            <w:tcW w:w="9520" w:type="dxa"/>
          </w:tcPr>
          <w:p w14:paraId="14F73E3F" w14:textId="77777777" w:rsidR="00184509" w:rsidRDefault="00095304">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podstawowa wiedza z zakresu prawa karnego materialnego i procedury karnej</w:t>
            </w:r>
          </w:p>
        </w:tc>
      </w:tr>
    </w:tbl>
    <w:p w14:paraId="7D8016A6" w14:textId="77777777" w:rsidR="00184509" w:rsidRDefault="00184509">
      <w:pPr>
        <w:pBdr>
          <w:top w:val="nil"/>
          <w:left w:val="nil"/>
          <w:bottom w:val="nil"/>
          <w:right w:val="nil"/>
          <w:between w:val="nil"/>
        </w:pBdr>
        <w:spacing w:after="0" w:line="240" w:lineRule="auto"/>
        <w:rPr>
          <w:rFonts w:ascii="Corbel" w:eastAsia="Corbel" w:hAnsi="Corbel" w:cs="Corbel"/>
          <w:b/>
          <w:smallCaps/>
          <w:color w:val="000000"/>
          <w:sz w:val="24"/>
          <w:szCs w:val="24"/>
        </w:rPr>
      </w:pPr>
    </w:p>
    <w:p w14:paraId="35F1EC25" w14:textId="77777777" w:rsidR="00184509" w:rsidRDefault="00095304">
      <w:pPr>
        <w:pBdr>
          <w:top w:val="nil"/>
          <w:left w:val="nil"/>
          <w:bottom w:val="nil"/>
          <w:right w:val="nil"/>
          <w:between w:val="nil"/>
        </w:pBdr>
        <w:spacing w:after="0" w:line="240" w:lineRule="auto"/>
        <w:rPr>
          <w:rFonts w:ascii="Corbel" w:eastAsia="Corbel" w:hAnsi="Corbel" w:cs="Corbel"/>
          <w:b/>
          <w:smallCaps/>
          <w:color w:val="000000"/>
          <w:sz w:val="24"/>
          <w:szCs w:val="24"/>
        </w:rPr>
      </w:pPr>
      <w:r>
        <w:br w:type="column"/>
      </w:r>
      <w:r>
        <w:rPr>
          <w:rFonts w:ascii="Corbel" w:eastAsia="Corbel" w:hAnsi="Corbel" w:cs="Corbel"/>
          <w:b/>
          <w:smallCaps/>
          <w:color w:val="000000"/>
          <w:sz w:val="24"/>
          <w:szCs w:val="24"/>
        </w:rPr>
        <w:lastRenderedPageBreak/>
        <w:t>3. cele, efekty uczenia się , treści Programowe i stosowane metody Dydaktyczne</w:t>
      </w:r>
    </w:p>
    <w:p w14:paraId="1CFD1B70" w14:textId="77777777" w:rsidR="00184509" w:rsidRDefault="00184509">
      <w:pPr>
        <w:pBdr>
          <w:top w:val="nil"/>
          <w:left w:val="nil"/>
          <w:bottom w:val="nil"/>
          <w:right w:val="nil"/>
          <w:between w:val="nil"/>
        </w:pBdr>
        <w:spacing w:after="0" w:line="240" w:lineRule="auto"/>
        <w:rPr>
          <w:rFonts w:ascii="Corbel" w:eastAsia="Corbel" w:hAnsi="Corbel" w:cs="Corbel"/>
          <w:b/>
          <w:smallCaps/>
          <w:color w:val="000000"/>
          <w:sz w:val="24"/>
          <w:szCs w:val="24"/>
        </w:rPr>
      </w:pPr>
    </w:p>
    <w:p w14:paraId="351262EB" w14:textId="77777777" w:rsidR="00184509" w:rsidRDefault="00095304">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Pr>
          <w:rFonts w:ascii="Corbel" w:eastAsia="Corbel" w:hAnsi="Corbel" w:cs="Corbel"/>
          <w:b/>
          <w:color w:val="000000"/>
          <w:sz w:val="24"/>
          <w:szCs w:val="24"/>
        </w:rPr>
        <w:t>3.1 Cele przedmiotu</w:t>
      </w:r>
    </w:p>
    <w:p w14:paraId="1D6992F0" w14:textId="77777777" w:rsidR="00184509" w:rsidRDefault="00184509">
      <w:pPr>
        <w:pBdr>
          <w:top w:val="nil"/>
          <w:left w:val="nil"/>
          <w:bottom w:val="nil"/>
          <w:right w:val="nil"/>
          <w:between w:val="nil"/>
        </w:pBdr>
        <w:tabs>
          <w:tab w:val="left" w:pos="-5814"/>
        </w:tabs>
        <w:spacing w:after="0" w:line="240" w:lineRule="auto"/>
        <w:ind w:left="360"/>
        <w:jc w:val="both"/>
        <w:rPr>
          <w:rFonts w:ascii="Corbel" w:eastAsia="Corbel" w:hAnsi="Corbel" w:cs="Corbel"/>
          <w:i/>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184509" w14:paraId="6FEC4208" w14:textId="77777777">
        <w:tc>
          <w:tcPr>
            <w:tcW w:w="843" w:type="dxa"/>
            <w:vAlign w:val="center"/>
          </w:tcPr>
          <w:p w14:paraId="7636B230" w14:textId="77777777" w:rsidR="00184509" w:rsidRDefault="00095304">
            <w:pPr>
              <w:pBdr>
                <w:top w:val="nil"/>
                <w:left w:val="nil"/>
                <w:bottom w:val="nil"/>
                <w:right w:val="nil"/>
                <w:between w:val="nil"/>
              </w:pBdr>
              <w:tabs>
                <w:tab w:val="left" w:pos="-5814"/>
              </w:tabs>
              <w:spacing w:before="40" w:after="4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C1 </w:t>
            </w:r>
          </w:p>
        </w:tc>
        <w:tc>
          <w:tcPr>
            <w:tcW w:w="8677" w:type="dxa"/>
            <w:vAlign w:val="center"/>
          </w:tcPr>
          <w:p w14:paraId="2B5ED3B3" w14:textId="77777777" w:rsidR="00184509" w:rsidRDefault="00095304">
            <w:pPr>
              <w:pBdr>
                <w:top w:val="nil"/>
                <w:left w:val="nil"/>
                <w:bottom w:val="nil"/>
                <w:right w:val="nil"/>
                <w:between w:val="nil"/>
              </w:pBdr>
              <w:tabs>
                <w:tab w:val="left" w:pos="-5814"/>
              </w:tabs>
              <w:spacing w:before="40" w:after="40" w:line="240" w:lineRule="auto"/>
              <w:jc w:val="both"/>
              <w:rPr>
                <w:rFonts w:ascii="Corbel" w:eastAsia="Corbel" w:hAnsi="Corbel" w:cs="Corbel"/>
                <w:color w:val="000000"/>
                <w:sz w:val="24"/>
                <w:szCs w:val="24"/>
              </w:rPr>
            </w:pPr>
            <w:r>
              <w:rPr>
                <w:rFonts w:ascii="Corbel" w:eastAsia="Corbel" w:hAnsi="Corbel" w:cs="Corbel"/>
                <w:color w:val="000000"/>
                <w:sz w:val="24"/>
                <w:szCs w:val="24"/>
              </w:rPr>
              <w:t>Zdobycie wiedzy z dziedziny kryminalistyki dotyczącej ekspertyzy kryminalistycznej przydatnej absolwentowi przy wykonywaniu zawodu prokuratora, sędziego, adwokata lub biegłego</w:t>
            </w:r>
          </w:p>
        </w:tc>
      </w:tr>
    </w:tbl>
    <w:p w14:paraId="55AE1C19"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p w14:paraId="1378DA34" w14:textId="77777777" w:rsidR="00184509" w:rsidRDefault="00095304">
      <w:pPr>
        <w:spacing w:after="0" w:line="240" w:lineRule="auto"/>
        <w:ind w:left="426"/>
        <w:rPr>
          <w:rFonts w:ascii="Corbel" w:eastAsia="Corbel" w:hAnsi="Corbel" w:cs="Corbel"/>
          <w:sz w:val="24"/>
          <w:szCs w:val="24"/>
        </w:rPr>
      </w:pPr>
      <w:r>
        <w:rPr>
          <w:rFonts w:ascii="Corbel" w:eastAsia="Corbel" w:hAnsi="Corbel" w:cs="Corbel"/>
          <w:b/>
          <w:sz w:val="24"/>
          <w:szCs w:val="24"/>
        </w:rPr>
        <w:t>3.2 Efekty uczenia się dla przedmiotu</w:t>
      </w:r>
      <w:r>
        <w:rPr>
          <w:rFonts w:ascii="Corbel" w:eastAsia="Corbel" w:hAnsi="Corbel" w:cs="Corbel"/>
          <w:sz w:val="24"/>
          <w:szCs w:val="24"/>
        </w:rPr>
        <w:t xml:space="preserve"> </w:t>
      </w:r>
    </w:p>
    <w:p w14:paraId="1E57BEAE" w14:textId="77777777" w:rsidR="00184509" w:rsidRDefault="00184509">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9"/>
        <w:gridCol w:w="5976"/>
        <w:gridCol w:w="1865"/>
      </w:tblGrid>
      <w:tr w:rsidR="00184509" w14:paraId="2AA1CCEB" w14:textId="77777777">
        <w:tc>
          <w:tcPr>
            <w:tcW w:w="1679" w:type="dxa"/>
            <w:vAlign w:val="center"/>
          </w:tcPr>
          <w:p w14:paraId="273ADF1F"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b/>
                <w:color w:val="000000"/>
                <w:sz w:val="24"/>
                <w:szCs w:val="24"/>
              </w:rPr>
              <w:t>EK</w:t>
            </w:r>
            <w:r>
              <w:rPr>
                <w:rFonts w:ascii="Corbel" w:eastAsia="Corbel" w:hAnsi="Corbel" w:cs="Corbel"/>
                <w:color w:val="000000"/>
                <w:sz w:val="24"/>
                <w:szCs w:val="24"/>
              </w:rPr>
              <w:t xml:space="preserve"> (efekt uczenia się)</w:t>
            </w:r>
          </w:p>
        </w:tc>
        <w:tc>
          <w:tcPr>
            <w:tcW w:w="5976" w:type="dxa"/>
            <w:vAlign w:val="center"/>
          </w:tcPr>
          <w:p w14:paraId="188E6DCC"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Treść efektu uczenia się zdefiniowanego dla przedmiotu </w:t>
            </w:r>
          </w:p>
        </w:tc>
        <w:tc>
          <w:tcPr>
            <w:tcW w:w="1865" w:type="dxa"/>
            <w:vAlign w:val="center"/>
          </w:tcPr>
          <w:p w14:paraId="2B16F42B"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Odniesienie do efektów  kierunkowych </w:t>
            </w:r>
            <w:r>
              <w:rPr>
                <w:rFonts w:ascii="Corbel" w:eastAsia="Corbel" w:hAnsi="Corbel" w:cs="Corbel"/>
                <w:color w:val="000000"/>
                <w:sz w:val="24"/>
                <w:szCs w:val="24"/>
                <w:vertAlign w:val="superscript"/>
              </w:rPr>
              <w:footnoteReference w:id="1"/>
            </w:r>
          </w:p>
        </w:tc>
      </w:tr>
      <w:tr w:rsidR="00184509" w14:paraId="5FFD72ED" w14:textId="77777777">
        <w:tc>
          <w:tcPr>
            <w:tcW w:w="1679" w:type="dxa"/>
          </w:tcPr>
          <w:p w14:paraId="1C3F2F2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EK_01</w:t>
            </w:r>
          </w:p>
        </w:tc>
        <w:tc>
          <w:tcPr>
            <w:tcW w:w="5976" w:type="dxa"/>
          </w:tcPr>
          <w:p w14:paraId="3F00FEED"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definiuje pojęcie ekspertyzy kryminalistycznej</w:t>
            </w:r>
          </w:p>
        </w:tc>
        <w:tc>
          <w:tcPr>
            <w:tcW w:w="1865" w:type="dxa"/>
          </w:tcPr>
          <w:p w14:paraId="2440AB6E"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184509" w14:paraId="0AAA1CD7" w14:textId="77777777">
        <w:tc>
          <w:tcPr>
            <w:tcW w:w="1679" w:type="dxa"/>
          </w:tcPr>
          <w:p w14:paraId="192ED16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EK_02</w:t>
            </w:r>
          </w:p>
        </w:tc>
        <w:tc>
          <w:tcPr>
            <w:tcW w:w="5976" w:type="dxa"/>
          </w:tcPr>
          <w:p w14:paraId="3423439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wymienia i opisuje rodzaje ekspertyz kryminalistycznych oraz instytucje je wykonujące</w:t>
            </w:r>
          </w:p>
        </w:tc>
        <w:tc>
          <w:tcPr>
            <w:tcW w:w="1865" w:type="dxa"/>
          </w:tcPr>
          <w:p w14:paraId="47E3D68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184509" w14:paraId="4D54FCC2" w14:textId="77777777">
        <w:tc>
          <w:tcPr>
            <w:tcW w:w="1679" w:type="dxa"/>
          </w:tcPr>
          <w:p w14:paraId="3B211A2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EK_03</w:t>
            </w:r>
          </w:p>
        </w:tc>
        <w:tc>
          <w:tcPr>
            <w:tcW w:w="5976" w:type="dxa"/>
          </w:tcPr>
          <w:p w14:paraId="7FF43C66"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posiada podstawową wiedzę z zakresu metodyki wykonywania wybranych rodzajów ekspertyz </w:t>
            </w:r>
          </w:p>
          <w:p w14:paraId="57BE2225"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kryminalistycznych oraz zasad współpracy organu procesowego z biegłymi</w:t>
            </w:r>
          </w:p>
        </w:tc>
        <w:tc>
          <w:tcPr>
            <w:tcW w:w="1865" w:type="dxa"/>
          </w:tcPr>
          <w:p w14:paraId="3430C07B"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184509" w14:paraId="4C4A192A" w14:textId="77777777">
        <w:tc>
          <w:tcPr>
            <w:tcW w:w="1679" w:type="dxa"/>
          </w:tcPr>
          <w:p w14:paraId="507182A8"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EK_04</w:t>
            </w:r>
          </w:p>
        </w:tc>
        <w:tc>
          <w:tcPr>
            <w:tcW w:w="5976" w:type="dxa"/>
          </w:tcPr>
          <w:p w14:paraId="2DAE3B4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charakteryzuje zakres poszczególnych ekspertyz kryminalistycznych i wyjaśnia ich znaczenie dowodowe dla czynienia ustaleń faktycznych</w:t>
            </w:r>
          </w:p>
        </w:tc>
        <w:tc>
          <w:tcPr>
            <w:tcW w:w="1865" w:type="dxa"/>
          </w:tcPr>
          <w:p w14:paraId="1023E663"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184509" w14:paraId="0F534271" w14:textId="77777777">
        <w:tc>
          <w:tcPr>
            <w:tcW w:w="1679" w:type="dxa"/>
          </w:tcPr>
          <w:p w14:paraId="51B438BF"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EK_05</w:t>
            </w:r>
          </w:p>
        </w:tc>
        <w:tc>
          <w:tcPr>
            <w:tcW w:w="5976" w:type="dxa"/>
          </w:tcPr>
          <w:p w14:paraId="09F1E516"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rozróżnia i klasyfikuje ślady kryminalistyczne</w:t>
            </w:r>
          </w:p>
        </w:tc>
        <w:tc>
          <w:tcPr>
            <w:tcW w:w="1865" w:type="dxa"/>
          </w:tcPr>
          <w:p w14:paraId="1FEE2D7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184509" w14:paraId="720C7FD7" w14:textId="77777777">
        <w:tc>
          <w:tcPr>
            <w:tcW w:w="1679" w:type="dxa"/>
          </w:tcPr>
          <w:p w14:paraId="0828A778"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EK_06</w:t>
            </w:r>
          </w:p>
        </w:tc>
        <w:tc>
          <w:tcPr>
            <w:tcW w:w="5976" w:type="dxa"/>
          </w:tcPr>
          <w:p w14:paraId="1AAD65D6"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dobiera właściwy rodzaj ekspertyzy dla zbadania określonych śladów kryminalistycznych i ocenia uzyskane na tej podstawie wnioski pod kątem znaczenia dowodowego</w:t>
            </w:r>
          </w:p>
        </w:tc>
        <w:tc>
          <w:tcPr>
            <w:tcW w:w="1865" w:type="dxa"/>
          </w:tcPr>
          <w:p w14:paraId="092881E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184509" w14:paraId="2D49B625" w14:textId="77777777">
        <w:tc>
          <w:tcPr>
            <w:tcW w:w="1679" w:type="dxa"/>
          </w:tcPr>
          <w:p w14:paraId="64913DC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EK_07</w:t>
            </w:r>
          </w:p>
        </w:tc>
        <w:tc>
          <w:tcPr>
            <w:tcW w:w="5976" w:type="dxa"/>
          </w:tcPr>
          <w:p w14:paraId="32FC2A67"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dąży do odpowiedzialnego wykonywania powierzonych zadań oraz autonomicznego podejmowania decyzji w zakresie powierzonych obowiązków</w:t>
            </w:r>
          </w:p>
        </w:tc>
        <w:tc>
          <w:tcPr>
            <w:tcW w:w="1865" w:type="dxa"/>
          </w:tcPr>
          <w:p w14:paraId="0EF377DB"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bl>
    <w:p w14:paraId="7FDD7C02" w14:textId="77777777" w:rsidR="00184509" w:rsidRDefault="00184509">
      <w:pPr>
        <w:pBdr>
          <w:top w:val="nil"/>
          <w:left w:val="nil"/>
          <w:bottom w:val="nil"/>
          <w:right w:val="nil"/>
          <w:between w:val="nil"/>
        </w:pBdr>
        <w:spacing w:after="0" w:line="240" w:lineRule="auto"/>
        <w:rPr>
          <w:rFonts w:ascii="Corbel" w:eastAsia="Corbel" w:hAnsi="Corbel" w:cs="Corbel"/>
          <w:smallCaps/>
          <w:color w:val="000000"/>
          <w:sz w:val="24"/>
          <w:szCs w:val="24"/>
        </w:rPr>
      </w:pPr>
    </w:p>
    <w:p w14:paraId="6EEB5F5F" w14:textId="77777777" w:rsidR="00184509" w:rsidRDefault="00095304">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Pr>
          <w:rFonts w:ascii="Corbel" w:eastAsia="Corbel" w:hAnsi="Corbel" w:cs="Corbel"/>
          <w:b/>
          <w:color w:val="000000"/>
          <w:sz w:val="24"/>
          <w:szCs w:val="24"/>
        </w:rPr>
        <w:t xml:space="preserve">3.3 Treści programowe </w:t>
      </w:r>
      <w:r>
        <w:rPr>
          <w:rFonts w:ascii="Corbel" w:eastAsia="Corbel" w:hAnsi="Corbel" w:cs="Corbel"/>
          <w:color w:val="000000"/>
          <w:sz w:val="24"/>
          <w:szCs w:val="24"/>
        </w:rPr>
        <w:t xml:space="preserve">  </w:t>
      </w:r>
    </w:p>
    <w:p w14:paraId="56B6A916" w14:textId="77777777" w:rsidR="00184509" w:rsidRDefault="00184509">
      <w:pPr>
        <w:pBdr>
          <w:top w:val="nil"/>
          <w:left w:val="nil"/>
          <w:bottom w:val="nil"/>
          <w:right w:val="nil"/>
          <w:between w:val="nil"/>
        </w:pBdr>
        <w:spacing w:after="0" w:line="240" w:lineRule="auto"/>
        <w:ind w:left="426"/>
        <w:jc w:val="both"/>
        <w:rPr>
          <w:rFonts w:ascii="Corbel" w:eastAsia="Corbel" w:hAnsi="Corbel" w:cs="Corbel"/>
          <w:b/>
          <w:color w:val="000000"/>
          <w:sz w:val="24"/>
          <w:szCs w:val="24"/>
        </w:rPr>
      </w:pPr>
    </w:p>
    <w:p w14:paraId="38818849" w14:textId="77777777" w:rsidR="00184509" w:rsidRDefault="00095304">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Problematyka ćwiczeń audytoryjnych, konwersatoryjnych, laboratoryjnych, zajęć praktycznych </w:t>
      </w:r>
    </w:p>
    <w:p w14:paraId="5C562372" w14:textId="77777777" w:rsidR="00184509" w:rsidRDefault="00184509">
      <w:pPr>
        <w:pBdr>
          <w:top w:val="nil"/>
          <w:left w:val="nil"/>
          <w:bottom w:val="nil"/>
          <w:right w:val="nil"/>
          <w:between w:val="nil"/>
        </w:pBdr>
        <w:spacing w:after="12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184509" w14:paraId="1E97B2DE" w14:textId="77777777">
        <w:tc>
          <w:tcPr>
            <w:tcW w:w="9520" w:type="dxa"/>
          </w:tcPr>
          <w:p w14:paraId="6F9ABED4"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Treści merytoryczne</w:t>
            </w:r>
          </w:p>
        </w:tc>
      </w:tr>
      <w:tr w:rsidR="00184509" w14:paraId="2374C51F" w14:textId="77777777">
        <w:tc>
          <w:tcPr>
            <w:tcW w:w="9520" w:type="dxa"/>
          </w:tcPr>
          <w:p w14:paraId="3CB5BF32"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kryminalistyczna – pojęcie i przedmiot, rodzaje</w:t>
            </w:r>
          </w:p>
        </w:tc>
      </w:tr>
      <w:tr w:rsidR="00184509" w14:paraId="0C6BF4E7" w14:textId="77777777">
        <w:tc>
          <w:tcPr>
            <w:tcW w:w="9520" w:type="dxa"/>
          </w:tcPr>
          <w:p w14:paraId="51BAF593"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Podstawy prawne wykonywania ekspertyzy</w:t>
            </w:r>
          </w:p>
        </w:tc>
      </w:tr>
      <w:tr w:rsidR="00184509" w14:paraId="014FF455" w14:textId="77777777">
        <w:tc>
          <w:tcPr>
            <w:tcW w:w="9520" w:type="dxa"/>
          </w:tcPr>
          <w:p w14:paraId="249EF5FF"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Rola i zadania biegłego. Zasady powoływania biegłych przez organ procesowy</w:t>
            </w:r>
          </w:p>
        </w:tc>
      </w:tr>
      <w:tr w:rsidR="00184509" w14:paraId="55A07032" w14:textId="77777777">
        <w:tc>
          <w:tcPr>
            <w:tcW w:w="9520" w:type="dxa"/>
          </w:tcPr>
          <w:p w14:paraId="735D194C"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Podmioty zajmujące się wykonywaniem ekspertyz kryminalistycznych w Polsce</w:t>
            </w:r>
          </w:p>
        </w:tc>
      </w:tr>
      <w:tr w:rsidR="00184509" w14:paraId="354E12D8" w14:textId="77777777">
        <w:tc>
          <w:tcPr>
            <w:tcW w:w="9520" w:type="dxa"/>
          </w:tcPr>
          <w:p w14:paraId="06FD0FA6"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Ślady kryminalistyczne</w:t>
            </w:r>
          </w:p>
        </w:tc>
      </w:tr>
      <w:tr w:rsidR="00184509" w14:paraId="1C9A204E" w14:textId="77777777">
        <w:tc>
          <w:tcPr>
            <w:tcW w:w="9520" w:type="dxa"/>
          </w:tcPr>
          <w:p w14:paraId="0F35C383"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Metodyka wykonywania wybranych rodzajów ekspertyz kryminalistycznych</w:t>
            </w:r>
          </w:p>
        </w:tc>
      </w:tr>
      <w:tr w:rsidR="00184509" w14:paraId="31E9C263" w14:textId="77777777">
        <w:tc>
          <w:tcPr>
            <w:tcW w:w="9520" w:type="dxa"/>
          </w:tcPr>
          <w:p w14:paraId="5FD60E26"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grafologiczna. Ekspertyza lingwistyczna</w:t>
            </w:r>
          </w:p>
        </w:tc>
      </w:tr>
      <w:tr w:rsidR="00184509" w14:paraId="13E90AA6" w14:textId="77777777">
        <w:tc>
          <w:tcPr>
            <w:tcW w:w="9520" w:type="dxa"/>
          </w:tcPr>
          <w:p w14:paraId="6FD33018"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dokumentów, pisma ręcznego i podpisów</w:t>
            </w:r>
          </w:p>
        </w:tc>
      </w:tr>
      <w:tr w:rsidR="00184509" w14:paraId="2FD00D66" w14:textId="77777777">
        <w:tc>
          <w:tcPr>
            <w:tcW w:w="9520" w:type="dxa"/>
          </w:tcPr>
          <w:p w14:paraId="6E4A3494"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wariograficzna</w:t>
            </w:r>
          </w:p>
        </w:tc>
      </w:tr>
      <w:tr w:rsidR="00184509" w14:paraId="76BD4500" w14:textId="77777777">
        <w:tc>
          <w:tcPr>
            <w:tcW w:w="9520" w:type="dxa"/>
          </w:tcPr>
          <w:p w14:paraId="5B9ED0CE"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fonoskopijna</w:t>
            </w:r>
          </w:p>
        </w:tc>
      </w:tr>
      <w:tr w:rsidR="00184509" w14:paraId="4DB31123" w14:textId="77777777">
        <w:tc>
          <w:tcPr>
            <w:tcW w:w="9520" w:type="dxa"/>
          </w:tcPr>
          <w:p w14:paraId="560D0CDB"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mechanoskopijna</w:t>
            </w:r>
          </w:p>
        </w:tc>
      </w:tr>
      <w:tr w:rsidR="00184509" w14:paraId="06B76FC0" w14:textId="77777777">
        <w:tc>
          <w:tcPr>
            <w:tcW w:w="9520" w:type="dxa"/>
          </w:tcPr>
          <w:p w14:paraId="69A554E9"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lastRenderedPageBreak/>
              <w:t>Ekspertyzy z zakresu badania broni palnej</w:t>
            </w:r>
          </w:p>
        </w:tc>
      </w:tr>
      <w:tr w:rsidR="00184509" w14:paraId="24E4C0F1" w14:textId="77777777">
        <w:tc>
          <w:tcPr>
            <w:tcW w:w="9520" w:type="dxa"/>
          </w:tcPr>
          <w:p w14:paraId="4646CAF4"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daktyloskopijna. Ekspertyza cheiloskopijna. Ekspertyza traseologiczna</w:t>
            </w:r>
          </w:p>
        </w:tc>
      </w:tr>
      <w:tr w:rsidR="00184509" w14:paraId="58D93549" w14:textId="77777777">
        <w:tc>
          <w:tcPr>
            <w:tcW w:w="9520" w:type="dxa"/>
          </w:tcPr>
          <w:p w14:paraId="76CAB045"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Ekspertyza osmologiczna. Mikroślady. Badania antropologiczne, biologiczne i fizykochemiczne</w:t>
            </w:r>
          </w:p>
        </w:tc>
      </w:tr>
      <w:tr w:rsidR="00184509" w14:paraId="25860D2A" w14:textId="77777777">
        <w:tc>
          <w:tcPr>
            <w:tcW w:w="9520" w:type="dxa"/>
          </w:tcPr>
          <w:p w14:paraId="1FDE12DB" w14:textId="77777777" w:rsidR="00184509" w:rsidRDefault="00095304">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Metody ujawniania i identyfikacji narkotyków. Ekspertyzy toksykologiczne</w:t>
            </w:r>
          </w:p>
        </w:tc>
      </w:tr>
    </w:tbl>
    <w:p w14:paraId="22B3C12D" w14:textId="77777777" w:rsidR="00184509" w:rsidRDefault="00184509">
      <w:pPr>
        <w:pBdr>
          <w:top w:val="nil"/>
          <w:left w:val="nil"/>
          <w:bottom w:val="nil"/>
          <w:right w:val="nil"/>
          <w:between w:val="nil"/>
        </w:pBdr>
        <w:spacing w:after="0" w:line="240" w:lineRule="auto"/>
        <w:rPr>
          <w:rFonts w:ascii="Corbel" w:eastAsia="Corbel" w:hAnsi="Corbel" w:cs="Corbel"/>
          <w:smallCaps/>
          <w:color w:val="000000"/>
          <w:sz w:val="24"/>
          <w:szCs w:val="24"/>
        </w:rPr>
      </w:pPr>
    </w:p>
    <w:p w14:paraId="6506A8AC" w14:textId="77777777" w:rsidR="00184509" w:rsidRDefault="00095304">
      <w:pPr>
        <w:pBdr>
          <w:top w:val="nil"/>
          <w:left w:val="nil"/>
          <w:bottom w:val="nil"/>
          <w:right w:val="nil"/>
          <w:between w:val="nil"/>
        </w:pBdr>
        <w:spacing w:after="0" w:line="240" w:lineRule="auto"/>
        <w:ind w:left="426"/>
        <w:rPr>
          <w:rFonts w:ascii="Corbel" w:eastAsia="Corbel" w:hAnsi="Corbel" w:cs="Corbel"/>
          <w:color w:val="000000"/>
          <w:sz w:val="24"/>
          <w:szCs w:val="24"/>
        </w:rPr>
      </w:pPr>
      <w:r>
        <w:rPr>
          <w:rFonts w:ascii="Corbel" w:eastAsia="Corbel" w:hAnsi="Corbel" w:cs="Corbel"/>
          <w:b/>
          <w:color w:val="000000"/>
          <w:sz w:val="24"/>
          <w:szCs w:val="24"/>
        </w:rPr>
        <w:t>3.4 Metody dydaktyczne</w:t>
      </w:r>
      <w:r>
        <w:rPr>
          <w:rFonts w:ascii="Corbel" w:eastAsia="Corbel" w:hAnsi="Corbel" w:cs="Corbel"/>
          <w:color w:val="000000"/>
          <w:sz w:val="24"/>
          <w:szCs w:val="24"/>
        </w:rPr>
        <w:t xml:space="preserve"> </w:t>
      </w:r>
      <w:r>
        <w:rPr>
          <w:rFonts w:ascii="Corbel" w:eastAsia="Corbel" w:hAnsi="Corbel" w:cs="Corbel"/>
          <w:i/>
          <w:color w:val="000000"/>
          <w:sz w:val="20"/>
          <w:szCs w:val="20"/>
        </w:rPr>
        <w:t xml:space="preserve"> </w:t>
      </w:r>
    </w:p>
    <w:p w14:paraId="4B81B9B5" w14:textId="77777777" w:rsidR="00184509" w:rsidRDefault="00095304">
      <w:pPr>
        <w:pBdr>
          <w:top w:val="nil"/>
          <w:left w:val="nil"/>
          <w:bottom w:val="nil"/>
          <w:right w:val="nil"/>
          <w:between w:val="nil"/>
        </w:pBdr>
        <w:spacing w:before="240" w:after="0" w:line="240" w:lineRule="auto"/>
        <w:jc w:val="both"/>
        <w:rPr>
          <w:rFonts w:ascii="Corbel" w:eastAsia="Corbel" w:hAnsi="Corbel" w:cs="Corbel"/>
          <w:color w:val="000000"/>
          <w:sz w:val="24"/>
          <w:szCs w:val="24"/>
        </w:rPr>
      </w:pPr>
      <w:r>
        <w:rPr>
          <w:rFonts w:ascii="Corbel" w:eastAsia="Corbel" w:hAnsi="Corbel" w:cs="Corbel"/>
          <w:color w:val="000000"/>
          <w:sz w:val="24"/>
          <w:szCs w:val="24"/>
        </w:rPr>
        <w:t>Konwersatorium z prezentacją multimedialną, dyskusja nad wskazanym zagadnieniem tematycznym ze szczególnym uwzględnieniem umiejętności praktycznego wykorzystania zdobytej wiedzy z zakresu poszczególnych ekspertyz kryminalistycznych, materiały audiowizualne, eksperyment, zajęcia praktyczne.</w:t>
      </w:r>
    </w:p>
    <w:p w14:paraId="4ABE2BD2" w14:textId="77777777" w:rsidR="00184509" w:rsidRDefault="00184509">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7CA3F3AC" w14:textId="77777777" w:rsidR="00184509" w:rsidRDefault="00095304">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4. METODY I KRYTERIA OCENY </w:t>
      </w:r>
    </w:p>
    <w:p w14:paraId="38C80C44" w14:textId="77777777" w:rsidR="00184509" w:rsidRDefault="00184509">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6D8B4D10" w14:textId="77777777" w:rsidR="00184509" w:rsidRDefault="00095304">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4.1 Sposoby weryfikacji efektów uczenia się</w:t>
      </w:r>
    </w:p>
    <w:p w14:paraId="14186024"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9"/>
        <w:gridCol w:w="5274"/>
        <w:gridCol w:w="2327"/>
      </w:tblGrid>
      <w:tr w:rsidR="00184509" w14:paraId="437F57C5" w14:textId="77777777">
        <w:tc>
          <w:tcPr>
            <w:tcW w:w="1919" w:type="dxa"/>
            <w:vAlign w:val="center"/>
          </w:tcPr>
          <w:p w14:paraId="062D0C57"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Symbol efektu</w:t>
            </w:r>
          </w:p>
        </w:tc>
        <w:tc>
          <w:tcPr>
            <w:tcW w:w="5274" w:type="dxa"/>
            <w:vAlign w:val="center"/>
          </w:tcPr>
          <w:p w14:paraId="093F0F1F"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Metody oceny efektów uczenia się</w:t>
            </w:r>
          </w:p>
          <w:p w14:paraId="5333BD80"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(np.: kolokwium, egzamin ustny, egzamin pisemny, projekt, sprawozdanie, obserwacja w trakcie zajęć)</w:t>
            </w:r>
          </w:p>
        </w:tc>
        <w:tc>
          <w:tcPr>
            <w:tcW w:w="2327" w:type="dxa"/>
            <w:vAlign w:val="center"/>
          </w:tcPr>
          <w:p w14:paraId="02F9BBE8"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Forma zajęć dydaktycznych </w:t>
            </w:r>
          </w:p>
          <w:p w14:paraId="41AA760B" w14:textId="77777777" w:rsidR="00184509" w:rsidRDefault="00095304">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(w, ćw, …)</w:t>
            </w:r>
          </w:p>
        </w:tc>
      </w:tr>
      <w:tr w:rsidR="00184509" w14:paraId="0B710DC6" w14:textId="77777777">
        <w:tc>
          <w:tcPr>
            <w:tcW w:w="1919" w:type="dxa"/>
          </w:tcPr>
          <w:p w14:paraId="0756EDE5"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 xml:space="preserve">EK_ 01 </w:t>
            </w:r>
          </w:p>
        </w:tc>
        <w:tc>
          <w:tcPr>
            <w:tcW w:w="5274" w:type="dxa"/>
          </w:tcPr>
          <w:p w14:paraId="2CF12F0D"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327" w:type="dxa"/>
          </w:tcPr>
          <w:p w14:paraId="3BA6DCCA"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184509" w14:paraId="301F01C8" w14:textId="77777777">
        <w:tc>
          <w:tcPr>
            <w:tcW w:w="1919" w:type="dxa"/>
          </w:tcPr>
          <w:p w14:paraId="0B2A16FC"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 02</w:t>
            </w:r>
          </w:p>
        </w:tc>
        <w:tc>
          <w:tcPr>
            <w:tcW w:w="5274" w:type="dxa"/>
          </w:tcPr>
          <w:p w14:paraId="68C081E8"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327" w:type="dxa"/>
          </w:tcPr>
          <w:p w14:paraId="3C44A29C"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184509" w14:paraId="0BC27067" w14:textId="77777777">
        <w:tc>
          <w:tcPr>
            <w:tcW w:w="1919" w:type="dxa"/>
          </w:tcPr>
          <w:p w14:paraId="30941798"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EK_03</w:t>
            </w:r>
          </w:p>
        </w:tc>
        <w:tc>
          <w:tcPr>
            <w:tcW w:w="5274" w:type="dxa"/>
          </w:tcPr>
          <w:p w14:paraId="3C59F610"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327" w:type="dxa"/>
          </w:tcPr>
          <w:p w14:paraId="6241A777"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184509" w14:paraId="1EB7C982" w14:textId="77777777">
        <w:tc>
          <w:tcPr>
            <w:tcW w:w="1919" w:type="dxa"/>
          </w:tcPr>
          <w:p w14:paraId="3D5ECFAC"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EK_04</w:t>
            </w:r>
          </w:p>
        </w:tc>
        <w:tc>
          <w:tcPr>
            <w:tcW w:w="5274" w:type="dxa"/>
          </w:tcPr>
          <w:p w14:paraId="7951D26C"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327" w:type="dxa"/>
          </w:tcPr>
          <w:p w14:paraId="53026A60"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184509" w14:paraId="36EBC83D" w14:textId="77777777">
        <w:tc>
          <w:tcPr>
            <w:tcW w:w="1919" w:type="dxa"/>
          </w:tcPr>
          <w:p w14:paraId="0BBA3188"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EK_05</w:t>
            </w:r>
          </w:p>
        </w:tc>
        <w:tc>
          <w:tcPr>
            <w:tcW w:w="5274" w:type="dxa"/>
          </w:tcPr>
          <w:p w14:paraId="010AF5D1"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327" w:type="dxa"/>
          </w:tcPr>
          <w:p w14:paraId="1C850A60"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184509" w14:paraId="76834294" w14:textId="77777777">
        <w:tc>
          <w:tcPr>
            <w:tcW w:w="1919" w:type="dxa"/>
          </w:tcPr>
          <w:p w14:paraId="0E6D9674"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EK_06</w:t>
            </w:r>
          </w:p>
        </w:tc>
        <w:tc>
          <w:tcPr>
            <w:tcW w:w="5274" w:type="dxa"/>
          </w:tcPr>
          <w:p w14:paraId="1D31AA79"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327" w:type="dxa"/>
          </w:tcPr>
          <w:p w14:paraId="15659EA1"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r w:rsidR="00184509" w14:paraId="78B02BAC" w14:textId="77777777">
        <w:tc>
          <w:tcPr>
            <w:tcW w:w="1919" w:type="dxa"/>
            <w:tcBorders>
              <w:top w:val="single" w:sz="4" w:space="0" w:color="000000"/>
              <w:left w:val="single" w:sz="4" w:space="0" w:color="000000"/>
              <w:bottom w:val="single" w:sz="4" w:space="0" w:color="000000"/>
              <w:right w:val="single" w:sz="4" w:space="0" w:color="000000"/>
            </w:tcBorders>
          </w:tcPr>
          <w:p w14:paraId="249E1B88"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EK_07</w:t>
            </w:r>
          </w:p>
        </w:tc>
        <w:tc>
          <w:tcPr>
            <w:tcW w:w="5274" w:type="dxa"/>
            <w:tcBorders>
              <w:top w:val="single" w:sz="4" w:space="0" w:color="000000"/>
              <w:left w:val="single" w:sz="4" w:space="0" w:color="000000"/>
              <w:bottom w:val="single" w:sz="4" w:space="0" w:color="000000"/>
              <w:right w:val="single" w:sz="4" w:space="0" w:color="000000"/>
            </w:tcBorders>
          </w:tcPr>
          <w:p w14:paraId="6092FC4F"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ZALICZENIE PISEMNE W FORMIE TESTOWEJ LUB ZALICZENIE USTNE</w:t>
            </w:r>
          </w:p>
        </w:tc>
        <w:tc>
          <w:tcPr>
            <w:tcW w:w="2327" w:type="dxa"/>
            <w:tcBorders>
              <w:top w:val="single" w:sz="4" w:space="0" w:color="000000"/>
              <w:left w:val="single" w:sz="4" w:space="0" w:color="000000"/>
              <w:bottom w:val="single" w:sz="4" w:space="0" w:color="000000"/>
              <w:right w:val="single" w:sz="4" w:space="0" w:color="000000"/>
            </w:tcBorders>
          </w:tcPr>
          <w:p w14:paraId="01E63C9E" w14:textId="77777777" w:rsidR="00184509" w:rsidRDefault="00095304">
            <w:pPr>
              <w:pBdr>
                <w:top w:val="nil"/>
                <w:left w:val="nil"/>
                <w:bottom w:val="nil"/>
                <w:right w:val="nil"/>
                <w:between w:val="nil"/>
              </w:pBdr>
              <w:spacing w:after="0" w:line="240" w:lineRule="auto"/>
              <w:rPr>
                <w:rFonts w:ascii="Corbel" w:eastAsia="Corbel" w:hAnsi="Corbel" w:cs="Corbel"/>
                <w:smallCaps/>
                <w:color w:val="000000"/>
                <w:sz w:val="20"/>
                <w:szCs w:val="20"/>
              </w:rPr>
            </w:pPr>
            <w:r>
              <w:rPr>
                <w:rFonts w:ascii="Corbel" w:eastAsia="Corbel" w:hAnsi="Corbel" w:cs="Corbel"/>
                <w:smallCaps/>
                <w:color w:val="000000"/>
                <w:sz w:val="20"/>
                <w:szCs w:val="20"/>
              </w:rPr>
              <w:t>KONWERSATORIUM</w:t>
            </w:r>
          </w:p>
        </w:tc>
      </w:tr>
    </w:tbl>
    <w:p w14:paraId="1988611F"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p w14:paraId="2002A194" w14:textId="77777777" w:rsidR="00184509" w:rsidRDefault="00095304">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 xml:space="preserve">4.2 Warunki zaliczenia przedmiotu (kryteria oceniania) </w:t>
      </w:r>
    </w:p>
    <w:p w14:paraId="1FFD70E7" w14:textId="77777777" w:rsidR="00184509" w:rsidRDefault="00184509">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184509" w14:paraId="4B165054" w14:textId="77777777">
        <w:tc>
          <w:tcPr>
            <w:tcW w:w="9520" w:type="dxa"/>
          </w:tcPr>
          <w:p w14:paraId="58E101FE" w14:textId="77777777" w:rsidR="00184509" w:rsidRDefault="00095304">
            <w:p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3214854D"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p w14:paraId="584AAC32" w14:textId="77777777" w:rsidR="00184509" w:rsidRDefault="00095304">
      <w:pPr>
        <w:pBdr>
          <w:top w:val="nil"/>
          <w:left w:val="nil"/>
          <w:bottom w:val="nil"/>
          <w:right w:val="nil"/>
          <w:between w:val="nil"/>
        </w:pBdr>
        <w:spacing w:after="0" w:line="240" w:lineRule="auto"/>
        <w:ind w:left="284" w:hanging="284"/>
        <w:jc w:val="both"/>
        <w:rPr>
          <w:rFonts w:ascii="Corbel" w:eastAsia="Corbel" w:hAnsi="Corbel" w:cs="Corbel"/>
          <w:b/>
          <w:color w:val="000000"/>
          <w:sz w:val="24"/>
          <w:szCs w:val="24"/>
        </w:rPr>
      </w:pPr>
      <w:r>
        <w:br w:type="column"/>
      </w:r>
      <w:r>
        <w:rPr>
          <w:rFonts w:ascii="Corbel" w:eastAsia="Corbel" w:hAnsi="Corbel" w:cs="Corbel"/>
          <w:b/>
          <w:color w:val="000000"/>
          <w:sz w:val="24"/>
          <w:szCs w:val="24"/>
        </w:rPr>
        <w:lastRenderedPageBreak/>
        <w:t xml:space="preserve">5. CAŁKOWITY NAKŁAD PRACY STUDENTA POTRZEBNY DO OSIĄGNIĘCIA ZAŁOŻONYCH EFEKTÓW W GODZINACH ORAZ PUNKTACH ECTS </w:t>
      </w:r>
    </w:p>
    <w:p w14:paraId="43BCD01B"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0"/>
        <w:gridCol w:w="4620"/>
      </w:tblGrid>
      <w:tr w:rsidR="00184509" w14:paraId="4BD0DD13" w14:textId="77777777">
        <w:tc>
          <w:tcPr>
            <w:tcW w:w="4900" w:type="dxa"/>
            <w:vAlign w:val="center"/>
          </w:tcPr>
          <w:p w14:paraId="3D8882C3" w14:textId="77777777" w:rsidR="00184509" w:rsidRDefault="00095304">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Forma aktywności</w:t>
            </w:r>
          </w:p>
        </w:tc>
        <w:tc>
          <w:tcPr>
            <w:tcW w:w="4620" w:type="dxa"/>
            <w:vAlign w:val="center"/>
          </w:tcPr>
          <w:p w14:paraId="390D3C58" w14:textId="77777777" w:rsidR="00184509" w:rsidRDefault="00095304">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Średnia liczba godzin na zrealizowanie aktywności</w:t>
            </w:r>
          </w:p>
        </w:tc>
      </w:tr>
      <w:tr w:rsidR="00184509" w14:paraId="182AC07D" w14:textId="77777777">
        <w:tc>
          <w:tcPr>
            <w:tcW w:w="4900" w:type="dxa"/>
          </w:tcPr>
          <w:p w14:paraId="26BE0B54"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kontaktowe wynikające z harmonogramu studiów</w:t>
            </w:r>
          </w:p>
        </w:tc>
        <w:tc>
          <w:tcPr>
            <w:tcW w:w="4620" w:type="dxa"/>
          </w:tcPr>
          <w:p w14:paraId="63C55ECB"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Konwersatorium – 30 godz.</w:t>
            </w:r>
          </w:p>
          <w:p w14:paraId="25D28450"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tc>
      </w:tr>
      <w:tr w:rsidR="00184509" w14:paraId="6A79FCBC" w14:textId="77777777">
        <w:tc>
          <w:tcPr>
            <w:tcW w:w="4900" w:type="dxa"/>
          </w:tcPr>
          <w:p w14:paraId="3B27439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Inne z udziałem nauczyciela akademickiego</w:t>
            </w:r>
          </w:p>
          <w:p w14:paraId="6C57E871"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egzaminie)</w:t>
            </w:r>
          </w:p>
        </w:tc>
        <w:tc>
          <w:tcPr>
            <w:tcW w:w="4620" w:type="dxa"/>
          </w:tcPr>
          <w:p w14:paraId="037D1DEE"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 10 godz.</w:t>
            </w:r>
          </w:p>
          <w:p w14:paraId="71F1F612"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zaliczeniu – 1 godz.</w:t>
            </w:r>
          </w:p>
        </w:tc>
      </w:tr>
      <w:tr w:rsidR="00184509" w14:paraId="312534E2" w14:textId="77777777">
        <w:tc>
          <w:tcPr>
            <w:tcW w:w="4900" w:type="dxa"/>
          </w:tcPr>
          <w:p w14:paraId="64E19D3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niekontaktowe – praca własna studenta</w:t>
            </w:r>
          </w:p>
          <w:p w14:paraId="3E59873F"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zajęć, egzaminu, napisanie referatu itp.)</w:t>
            </w:r>
          </w:p>
        </w:tc>
        <w:tc>
          <w:tcPr>
            <w:tcW w:w="4620" w:type="dxa"/>
          </w:tcPr>
          <w:p w14:paraId="0BA6592D"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zaliczenia – 49 godz.</w:t>
            </w:r>
          </w:p>
          <w:p w14:paraId="07B7CC4C"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Samodzielna lektura – 10 godz.</w:t>
            </w:r>
          </w:p>
        </w:tc>
      </w:tr>
      <w:tr w:rsidR="00184509" w14:paraId="4E19EFF8" w14:textId="77777777">
        <w:tc>
          <w:tcPr>
            <w:tcW w:w="4900" w:type="dxa"/>
          </w:tcPr>
          <w:p w14:paraId="7B6AA18F"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SUMA GODZIN</w:t>
            </w:r>
          </w:p>
        </w:tc>
        <w:tc>
          <w:tcPr>
            <w:tcW w:w="4620" w:type="dxa"/>
          </w:tcPr>
          <w:p w14:paraId="44C4D486"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100</w:t>
            </w:r>
          </w:p>
        </w:tc>
      </w:tr>
      <w:tr w:rsidR="00184509" w14:paraId="51A3394E" w14:textId="77777777">
        <w:tc>
          <w:tcPr>
            <w:tcW w:w="4900" w:type="dxa"/>
          </w:tcPr>
          <w:p w14:paraId="5417EE62" w14:textId="77777777" w:rsidR="00184509" w:rsidRDefault="00095304">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SUMARYCZNA LICZBA PUNKTÓW ECTS</w:t>
            </w:r>
          </w:p>
        </w:tc>
        <w:tc>
          <w:tcPr>
            <w:tcW w:w="4620" w:type="dxa"/>
          </w:tcPr>
          <w:p w14:paraId="35211805"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4</w:t>
            </w:r>
          </w:p>
        </w:tc>
      </w:tr>
    </w:tbl>
    <w:p w14:paraId="7DDA35BB" w14:textId="77777777" w:rsidR="00184509" w:rsidRDefault="00095304">
      <w:pPr>
        <w:pBdr>
          <w:top w:val="nil"/>
          <w:left w:val="nil"/>
          <w:bottom w:val="nil"/>
          <w:right w:val="nil"/>
          <w:between w:val="nil"/>
        </w:pBdr>
        <w:spacing w:after="0" w:line="240" w:lineRule="auto"/>
        <w:ind w:left="426"/>
        <w:rPr>
          <w:rFonts w:ascii="Corbel" w:eastAsia="Corbel" w:hAnsi="Corbel" w:cs="Corbel"/>
          <w:i/>
          <w:color w:val="000000"/>
          <w:sz w:val="24"/>
          <w:szCs w:val="24"/>
        </w:rPr>
      </w:pPr>
      <w:r>
        <w:rPr>
          <w:rFonts w:ascii="Corbel" w:eastAsia="Corbel" w:hAnsi="Corbel" w:cs="Corbel"/>
          <w:i/>
          <w:color w:val="000000"/>
          <w:sz w:val="24"/>
          <w:szCs w:val="24"/>
        </w:rPr>
        <w:t>* Należy uwzględnić, że 1 pkt ECTS odpowiada 25-30 godzin całkowitego nakładu pracy studenta.</w:t>
      </w:r>
    </w:p>
    <w:p w14:paraId="374C4351" w14:textId="77777777" w:rsidR="00184509" w:rsidRDefault="00184509">
      <w:pPr>
        <w:pBdr>
          <w:top w:val="nil"/>
          <w:left w:val="nil"/>
          <w:bottom w:val="nil"/>
          <w:right w:val="nil"/>
          <w:between w:val="nil"/>
        </w:pBdr>
        <w:spacing w:after="0" w:line="240" w:lineRule="auto"/>
        <w:rPr>
          <w:rFonts w:ascii="Corbel" w:eastAsia="Corbel" w:hAnsi="Corbel" w:cs="Corbel"/>
          <w:color w:val="000000"/>
          <w:sz w:val="24"/>
          <w:szCs w:val="24"/>
        </w:rPr>
      </w:pPr>
    </w:p>
    <w:p w14:paraId="03BF41FC" w14:textId="77777777" w:rsidR="00184509" w:rsidRDefault="00095304">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6. PRAKTYKI ZAWODOWE W RAMACH PRZEDMIOTU</w:t>
      </w:r>
    </w:p>
    <w:p w14:paraId="5B5325EE" w14:textId="77777777" w:rsidR="00184509" w:rsidRDefault="00184509">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3969"/>
      </w:tblGrid>
      <w:tr w:rsidR="00184509" w14:paraId="63A2302D" w14:textId="77777777">
        <w:trPr>
          <w:trHeight w:val="397"/>
        </w:trPr>
        <w:tc>
          <w:tcPr>
            <w:tcW w:w="3544" w:type="dxa"/>
          </w:tcPr>
          <w:p w14:paraId="1FE2FCF2"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wymiar godzinowy</w:t>
            </w:r>
          </w:p>
        </w:tc>
        <w:tc>
          <w:tcPr>
            <w:tcW w:w="3969" w:type="dxa"/>
          </w:tcPr>
          <w:p w14:paraId="620E8F74"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r w:rsidR="00184509" w14:paraId="2EB241C0" w14:textId="77777777">
        <w:trPr>
          <w:trHeight w:val="397"/>
        </w:trPr>
        <w:tc>
          <w:tcPr>
            <w:tcW w:w="3544" w:type="dxa"/>
          </w:tcPr>
          <w:p w14:paraId="601F22C9"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zasady i formy odbywania praktyk </w:t>
            </w:r>
          </w:p>
        </w:tc>
        <w:tc>
          <w:tcPr>
            <w:tcW w:w="3969" w:type="dxa"/>
          </w:tcPr>
          <w:p w14:paraId="25865D33" w14:textId="77777777" w:rsidR="00184509" w:rsidRDefault="00095304">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bl>
    <w:p w14:paraId="07911C86" w14:textId="77777777" w:rsidR="00184509" w:rsidRDefault="00184509">
      <w:pPr>
        <w:pBdr>
          <w:top w:val="nil"/>
          <w:left w:val="nil"/>
          <w:bottom w:val="nil"/>
          <w:right w:val="nil"/>
          <w:between w:val="nil"/>
        </w:pBdr>
        <w:spacing w:after="0" w:line="240" w:lineRule="auto"/>
        <w:ind w:left="360"/>
        <w:rPr>
          <w:rFonts w:ascii="Corbel" w:eastAsia="Corbel" w:hAnsi="Corbel" w:cs="Corbel"/>
          <w:color w:val="000000"/>
          <w:sz w:val="24"/>
          <w:szCs w:val="24"/>
        </w:rPr>
      </w:pPr>
    </w:p>
    <w:p w14:paraId="64FFF5E0" w14:textId="77777777" w:rsidR="00184509" w:rsidRDefault="00095304">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7. LITERATURA </w:t>
      </w:r>
    </w:p>
    <w:p w14:paraId="4A88913A" w14:textId="77777777" w:rsidR="00184509" w:rsidRDefault="00184509">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1"/>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tblGrid>
      <w:tr w:rsidR="00184509" w14:paraId="61FF96A2" w14:textId="77777777">
        <w:trPr>
          <w:trHeight w:val="397"/>
        </w:trPr>
        <w:tc>
          <w:tcPr>
            <w:tcW w:w="7513" w:type="dxa"/>
          </w:tcPr>
          <w:p w14:paraId="74384BC3" w14:textId="77777777" w:rsidR="00184509" w:rsidRDefault="00095304">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podstawowa:</w:t>
            </w:r>
          </w:p>
          <w:p w14:paraId="2EBF750C" w14:textId="77777777" w:rsidR="00184509" w:rsidRDefault="00184509">
            <w:pPr>
              <w:pBdr>
                <w:top w:val="nil"/>
                <w:left w:val="nil"/>
                <w:bottom w:val="nil"/>
                <w:right w:val="nil"/>
                <w:between w:val="nil"/>
              </w:pBdr>
              <w:spacing w:after="0" w:line="240" w:lineRule="auto"/>
              <w:ind w:left="720"/>
              <w:rPr>
                <w:rFonts w:ascii="Corbel" w:eastAsia="Corbel" w:hAnsi="Corbel" w:cs="Corbel"/>
                <w:b/>
                <w:color w:val="000000"/>
                <w:sz w:val="24"/>
                <w:szCs w:val="24"/>
              </w:rPr>
            </w:pPr>
          </w:p>
          <w:p w14:paraId="01FA14EC"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E. Gruza, M. Goc, J. Moszczyński, </w:t>
            </w:r>
            <w:r>
              <w:rPr>
                <w:rFonts w:ascii="Corbel" w:eastAsia="Corbel" w:hAnsi="Corbel" w:cs="Corbel"/>
                <w:i/>
                <w:color w:val="000000"/>
                <w:sz w:val="24"/>
                <w:szCs w:val="24"/>
              </w:rPr>
              <w:t>Kryminalistyka czyli rzecz o współczesnych metodach dowodzenia przestępstw</w:t>
            </w:r>
            <w:r>
              <w:rPr>
                <w:rFonts w:ascii="Corbel" w:eastAsia="Corbel" w:hAnsi="Corbel" w:cs="Corbel"/>
                <w:color w:val="000000"/>
                <w:sz w:val="24"/>
                <w:szCs w:val="24"/>
              </w:rPr>
              <w:t>, Wolters Kluwer, Warszawa 2020</w:t>
            </w:r>
          </w:p>
          <w:p w14:paraId="720140C1"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M. Goc, </w:t>
            </w:r>
            <w:r>
              <w:rPr>
                <w:rFonts w:ascii="Corbel" w:eastAsia="Corbel" w:hAnsi="Corbel" w:cs="Corbel"/>
                <w:i/>
                <w:color w:val="000000"/>
                <w:sz w:val="24"/>
                <w:szCs w:val="24"/>
              </w:rPr>
              <w:t>Współczesny model ekspertyzy pismoznawczej. Wykorzystanie nowych metod i technik badawczych</w:t>
            </w:r>
            <w:r>
              <w:rPr>
                <w:rFonts w:ascii="Corbel" w:eastAsia="Corbel" w:hAnsi="Corbel" w:cs="Corbel"/>
                <w:color w:val="000000"/>
                <w:sz w:val="24"/>
                <w:szCs w:val="24"/>
              </w:rPr>
              <w:t>, Wydawnictwo „Volumina.pl”, wyd. II, Warszawa-Szczecin 2016</w:t>
            </w:r>
          </w:p>
          <w:p w14:paraId="351E0D99"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 Czeczot, T. Tomaszewski, </w:t>
            </w:r>
            <w:r>
              <w:rPr>
                <w:rFonts w:ascii="Corbel" w:eastAsia="Corbel" w:hAnsi="Corbel" w:cs="Corbel"/>
                <w:i/>
                <w:color w:val="000000"/>
                <w:sz w:val="24"/>
                <w:szCs w:val="24"/>
              </w:rPr>
              <w:t>Kryminalistyka ogólna</w:t>
            </w:r>
            <w:r>
              <w:rPr>
                <w:rFonts w:ascii="Corbel" w:eastAsia="Corbel" w:hAnsi="Corbel" w:cs="Corbel"/>
                <w:color w:val="000000"/>
                <w:sz w:val="24"/>
                <w:szCs w:val="24"/>
              </w:rPr>
              <w:t>, Toruń 1996</w:t>
            </w:r>
          </w:p>
          <w:p w14:paraId="5CFC7D1F"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J. Wójcikiewicz (red.), </w:t>
            </w:r>
            <w:r>
              <w:rPr>
                <w:rFonts w:ascii="Corbel" w:eastAsia="Corbel" w:hAnsi="Corbel" w:cs="Corbel"/>
                <w:i/>
                <w:color w:val="000000"/>
                <w:sz w:val="24"/>
                <w:szCs w:val="24"/>
              </w:rPr>
              <w:t>Ekspertyza sądowa. Zagadnienia wybrane</w:t>
            </w:r>
            <w:r>
              <w:rPr>
                <w:rFonts w:ascii="Corbel" w:eastAsia="Corbel" w:hAnsi="Corbel" w:cs="Corbel"/>
                <w:color w:val="000000"/>
                <w:sz w:val="24"/>
                <w:szCs w:val="24"/>
              </w:rPr>
              <w:t>, Warszawa 2007</w:t>
            </w:r>
          </w:p>
          <w:p w14:paraId="5D590698"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T. Hanasuek, </w:t>
            </w:r>
            <w:r>
              <w:rPr>
                <w:rFonts w:ascii="Corbel" w:eastAsia="Corbel" w:hAnsi="Corbel" w:cs="Corbel"/>
                <w:i/>
                <w:color w:val="000000"/>
                <w:sz w:val="24"/>
                <w:szCs w:val="24"/>
              </w:rPr>
              <w:t>Kryminalistyka: zarys wykładu</w:t>
            </w:r>
            <w:r>
              <w:rPr>
                <w:rFonts w:ascii="Corbel" w:eastAsia="Corbel" w:hAnsi="Corbel" w:cs="Corbel"/>
                <w:color w:val="000000"/>
                <w:sz w:val="24"/>
                <w:szCs w:val="24"/>
              </w:rPr>
              <w:t>, zaktual. M, Szostak, wyd. Wolters Kluwer Polska, Kraków 2009</w:t>
            </w:r>
          </w:p>
          <w:p w14:paraId="3B5EEA7B"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J. Sołtyszewski (red.), </w:t>
            </w:r>
            <w:r>
              <w:rPr>
                <w:rFonts w:ascii="Corbel" w:eastAsia="Corbel" w:hAnsi="Corbel" w:cs="Corbel"/>
                <w:i/>
                <w:color w:val="000000"/>
                <w:sz w:val="24"/>
                <w:szCs w:val="24"/>
              </w:rPr>
              <w:t>Badania kryminalistyczne</w:t>
            </w:r>
            <w:r>
              <w:rPr>
                <w:rFonts w:ascii="Corbel" w:eastAsia="Corbel" w:hAnsi="Corbel" w:cs="Corbel"/>
                <w:color w:val="000000"/>
                <w:sz w:val="24"/>
                <w:szCs w:val="24"/>
              </w:rPr>
              <w:t>, Wydawnictwo Uniwersytetu Warmińsko – Mazurskiego, Olsztyn 2007</w:t>
            </w:r>
          </w:p>
          <w:p w14:paraId="435654CA" w14:textId="77777777" w:rsidR="00184509" w:rsidRDefault="00184509">
            <w:pPr>
              <w:pBdr>
                <w:top w:val="nil"/>
                <w:left w:val="nil"/>
                <w:bottom w:val="nil"/>
                <w:right w:val="nil"/>
                <w:between w:val="nil"/>
              </w:pBdr>
              <w:spacing w:after="0" w:line="240" w:lineRule="auto"/>
              <w:ind w:left="720"/>
              <w:rPr>
                <w:rFonts w:ascii="Corbel" w:eastAsia="Corbel" w:hAnsi="Corbel" w:cs="Corbel"/>
                <w:color w:val="000000"/>
                <w:sz w:val="24"/>
                <w:szCs w:val="24"/>
              </w:rPr>
            </w:pPr>
          </w:p>
        </w:tc>
      </w:tr>
      <w:tr w:rsidR="00184509" w14:paraId="08F55100" w14:textId="77777777">
        <w:trPr>
          <w:trHeight w:val="397"/>
        </w:trPr>
        <w:tc>
          <w:tcPr>
            <w:tcW w:w="7513" w:type="dxa"/>
          </w:tcPr>
          <w:p w14:paraId="2542A91C" w14:textId="77777777" w:rsidR="00184509" w:rsidRDefault="00095304">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Literatura uzupełniająca: </w:t>
            </w:r>
          </w:p>
          <w:p w14:paraId="095E4C00" w14:textId="77777777" w:rsidR="00184509" w:rsidRDefault="00184509">
            <w:pPr>
              <w:pBdr>
                <w:top w:val="nil"/>
                <w:left w:val="nil"/>
                <w:bottom w:val="nil"/>
                <w:right w:val="nil"/>
                <w:between w:val="nil"/>
              </w:pBdr>
              <w:spacing w:after="0" w:line="240" w:lineRule="auto"/>
              <w:ind w:left="720"/>
              <w:rPr>
                <w:rFonts w:ascii="Corbel" w:eastAsia="Corbel" w:hAnsi="Corbel" w:cs="Corbel"/>
                <w:b/>
                <w:color w:val="000000"/>
                <w:sz w:val="24"/>
                <w:szCs w:val="24"/>
              </w:rPr>
            </w:pPr>
          </w:p>
          <w:p w14:paraId="019651A7"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M. Goc, J. Moszczyński, </w:t>
            </w:r>
            <w:r>
              <w:rPr>
                <w:rFonts w:ascii="Corbel" w:eastAsia="Corbel" w:hAnsi="Corbel" w:cs="Corbel"/>
                <w:i/>
                <w:color w:val="000000"/>
                <w:sz w:val="24"/>
                <w:szCs w:val="24"/>
              </w:rPr>
              <w:t>Ślady kryminalistyczne. Ujawnianie, zabezpieczanie, wykorzystywanie</w:t>
            </w:r>
            <w:r>
              <w:rPr>
                <w:rFonts w:ascii="Corbel" w:eastAsia="Corbel" w:hAnsi="Corbel" w:cs="Corbel"/>
                <w:color w:val="000000"/>
                <w:sz w:val="24"/>
                <w:szCs w:val="24"/>
              </w:rPr>
              <w:t>, Diffin, Warszawa 2007</w:t>
            </w:r>
          </w:p>
          <w:p w14:paraId="7EC7293D"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J. Widacki (red.), </w:t>
            </w:r>
            <w:r>
              <w:rPr>
                <w:rFonts w:ascii="Corbel" w:eastAsia="Corbel" w:hAnsi="Corbel" w:cs="Corbel"/>
                <w:i/>
                <w:color w:val="000000"/>
                <w:sz w:val="24"/>
                <w:szCs w:val="24"/>
              </w:rPr>
              <w:t>Kryminalistyka</w:t>
            </w:r>
            <w:r>
              <w:rPr>
                <w:rFonts w:ascii="Corbel" w:eastAsia="Corbel" w:hAnsi="Corbel" w:cs="Corbel"/>
                <w:color w:val="000000"/>
                <w:sz w:val="24"/>
                <w:szCs w:val="24"/>
              </w:rPr>
              <w:t>, C.H. Beck 2008</w:t>
            </w:r>
          </w:p>
          <w:p w14:paraId="3986047E"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B. Hołyst, </w:t>
            </w:r>
            <w:r>
              <w:rPr>
                <w:rFonts w:ascii="Corbel" w:eastAsia="Corbel" w:hAnsi="Corbel" w:cs="Corbel"/>
                <w:i/>
                <w:color w:val="000000"/>
                <w:sz w:val="24"/>
                <w:szCs w:val="24"/>
              </w:rPr>
              <w:t>Kryminalistyka</w:t>
            </w:r>
            <w:r>
              <w:rPr>
                <w:rFonts w:ascii="Corbel" w:eastAsia="Corbel" w:hAnsi="Corbel" w:cs="Corbel"/>
                <w:color w:val="000000"/>
                <w:sz w:val="24"/>
                <w:szCs w:val="24"/>
              </w:rPr>
              <w:t>, Wolters Kluwer, Warszawa 2018</w:t>
            </w:r>
          </w:p>
          <w:p w14:paraId="65673A66" w14:textId="77777777" w:rsidR="00184509" w:rsidRDefault="00095304">
            <w:pPr>
              <w:numPr>
                <w:ilvl w:val="0"/>
                <w:numId w:val="2"/>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J. Wójcikiewicz, </w:t>
            </w:r>
            <w:r>
              <w:rPr>
                <w:rFonts w:ascii="Corbel" w:eastAsia="Corbel" w:hAnsi="Corbel" w:cs="Corbel"/>
                <w:i/>
                <w:color w:val="000000"/>
                <w:sz w:val="24"/>
                <w:szCs w:val="24"/>
              </w:rPr>
              <w:t>Temida nad mikroskopem. Judykatura wobec dowodu naukowego 1993-2008</w:t>
            </w:r>
            <w:r>
              <w:rPr>
                <w:rFonts w:ascii="Corbel" w:eastAsia="Corbel" w:hAnsi="Corbel" w:cs="Corbel"/>
                <w:color w:val="000000"/>
                <w:sz w:val="24"/>
                <w:szCs w:val="24"/>
              </w:rPr>
              <w:t>, Toruń 2009</w:t>
            </w:r>
          </w:p>
          <w:p w14:paraId="44385916" w14:textId="77777777" w:rsidR="00184509" w:rsidRDefault="00095304">
            <w:pPr>
              <w:numPr>
                <w:ilvl w:val="0"/>
                <w:numId w:val="2"/>
              </w:numPr>
              <w:spacing w:after="0" w:line="240" w:lineRule="auto"/>
              <w:jc w:val="both"/>
              <w:rPr>
                <w:rFonts w:ascii="Corbel" w:eastAsia="Corbel" w:hAnsi="Corbel" w:cs="Corbel"/>
                <w:sz w:val="24"/>
                <w:szCs w:val="24"/>
              </w:rPr>
            </w:pPr>
            <w:r>
              <w:rPr>
                <w:rFonts w:ascii="Corbel" w:eastAsia="Corbel" w:hAnsi="Corbel" w:cs="Corbel"/>
                <w:sz w:val="24"/>
                <w:szCs w:val="24"/>
              </w:rPr>
              <w:t xml:space="preserve">K. Bajda, </w:t>
            </w:r>
            <w:r>
              <w:rPr>
                <w:rFonts w:ascii="Corbel" w:eastAsia="Corbel" w:hAnsi="Corbel" w:cs="Corbel"/>
                <w:i/>
                <w:sz w:val="24"/>
                <w:szCs w:val="24"/>
              </w:rPr>
              <w:t>Possibilities of using polygraphic research in cases involving events involving stadium hooligans</w:t>
            </w:r>
            <w:r>
              <w:rPr>
                <w:rFonts w:ascii="Corbel" w:eastAsia="Corbel" w:hAnsi="Corbel" w:cs="Corbel"/>
                <w:sz w:val="24"/>
                <w:szCs w:val="24"/>
              </w:rPr>
              <w:t xml:space="preserve">, Przestępstwa przeciwko życiu i zdrowiu. Aspekty prawne, kryminologiczne i kryminalistyczne. </w:t>
            </w:r>
            <w:r>
              <w:rPr>
                <w:rFonts w:ascii="Corbel" w:eastAsia="Corbel" w:hAnsi="Corbel" w:cs="Corbel"/>
                <w:sz w:val="24"/>
                <w:szCs w:val="24"/>
              </w:rPr>
              <w:lastRenderedPageBreak/>
              <w:t>Tom II, Wydawnictwo Uniwersytetu Rzeszowskiego, Rzeszów 2020, (red.) D. Semków, I. Kułak, s. 259-283.</w:t>
            </w:r>
          </w:p>
          <w:p w14:paraId="40BE6866" w14:textId="77777777" w:rsidR="00184509" w:rsidRDefault="00095304">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M. Goc, D. Semków, </w:t>
            </w:r>
            <w:r>
              <w:rPr>
                <w:rFonts w:ascii="Corbel" w:eastAsia="Corbel" w:hAnsi="Corbel" w:cs="Corbel"/>
                <w:i/>
                <w:sz w:val="24"/>
                <w:szCs w:val="24"/>
              </w:rPr>
              <w:t>Public Document Act and Its Role in Preventing Document Forgery</w:t>
            </w:r>
            <w:r>
              <w:rPr>
                <w:rFonts w:ascii="Corbel" w:eastAsia="Corbel" w:hAnsi="Corbel" w:cs="Corbel"/>
                <w:sz w:val="24"/>
                <w:szCs w:val="24"/>
              </w:rPr>
              <w:t>, “Studia Iuridica Lublinensia”, t. XXXiX, 2020, nr 4.</w:t>
            </w:r>
          </w:p>
          <w:p w14:paraId="63B7EEDD" w14:textId="77777777" w:rsidR="00184509" w:rsidRDefault="00095304">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Fałsz materialny dokumentu. Aspekty prawne i kryminalistyczne</w:t>
            </w:r>
            <w:r>
              <w:rPr>
                <w:rFonts w:ascii="Corbel" w:eastAsia="Corbel" w:hAnsi="Corbel" w:cs="Corbel"/>
                <w:sz w:val="24"/>
                <w:szCs w:val="24"/>
              </w:rPr>
              <w:t>, "Przegląd Prawno-Ekonomiczny" (Review of Law, Business &amp; Economcs), nr 46 (1/2019).</w:t>
            </w:r>
          </w:p>
          <w:p w14:paraId="22537E03" w14:textId="77777777" w:rsidR="00184509" w:rsidRDefault="00095304">
            <w:pPr>
              <w:numPr>
                <w:ilvl w:val="0"/>
                <w:numId w:val="2"/>
              </w:numPr>
              <w:spacing w:after="0" w:line="240" w:lineRule="auto"/>
              <w:jc w:val="both"/>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 xml:space="preserve">The scope of legal protection of documents and the security system of public documents in the Polish legal regulations, </w:t>
            </w:r>
            <w:r>
              <w:rPr>
                <w:rFonts w:ascii="Corbel" w:eastAsia="Corbel" w:hAnsi="Corbel" w:cs="Corbel"/>
                <w:sz w:val="24"/>
                <w:szCs w:val="24"/>
              </w:rPr>
              <w:t>“Studia Iuridica Lublinensia”, 2021, t. XXX, nr 5, s. 501-521-99.</w:t>
            </w:r>
          </w:p>
          <w:p w14:paraId="7815F7E0" w14:textId="77777777" w:rsidR="00184509" w:rsidRDefault="00095304">
            <w:pPr>
              <w:numPr>
                <w:ilvl w:val="0"/>
                <w:numId w:val="2"/>
              </w:numPr>
              <w:spacing w:after="0" w:line="240" w:lineRule="auto"/>
              <w:jc w:val="both"/>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The crime of document forgery in the context of illegal border crossing, theoretical and empirical aspects</w:t>
            </w:r>
            <w:r>
              <w:rPr>
                <w:rFonts w:ascii="Corbel" w:eastAsia="Corbel" w:hAnsi="Corbel" w:cs="Corbel"/>
                <w:sz w:val="24"/>
                <w:szCs w:val="24"/>
              </w:rPr>
              <w:t>, “Problemy Współczesnej Kryminalistyki” 2022, t. XXVI, s. 341-358.</w:t>
            </w:r>
          </w:p>
          <w:p w14:paraId="7DD354D1" w14:textId="77777777" w:rsidR="00184509" w:rsidRDefault="00095304">
            <w:pPr>
              <w:numPr>
                <w:ilvl w:val="0"/>
                <w:numId w:val="2"/>
              </w:numPr>
              <w:spacing w:after="0" w:line="240" w:lineRule="auto"/>
              <w:jc w:val="both"/>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 xml:space="preserve">O związku kryminalistyki, estetyki i dyplomatyki w badaniach dokumentów, </w:t>
            </w:r>
            <w:r>
              <w:rPr>
                <w:rFonts w:ascii="Corbel" w:eastAsia="Corbel" w:hAnsi="Corbel" w:cs="Corbel"/>
                <w:sz w:val="24"/>
                <w:szCs w:val="24"/>
              </w:rPr>
              <w:t xml:space="preserve">[w:] </w:t>
            </w:r>
            <w:r>
              <w:rPr>
                <w:rFonts w:ascii="Corbel" w:eastAsia="Corbel" w:hAnsi="Corbel" w:cs="Corbel"/>
                <w:i/>
                <w:sz w:val="24"/>
                <w:szCs w:val="24"/>
              </w:rPr>
              <w:t>Księga Jubileuszowa Prof. dr. hab. J. Wójcikiewicza</w:t>
            </w:r>
            <w:r>
              <w:rPr>
                <w:rFonts w:ascii="Corbel" w:eastAsia="Corbel" w:hAnsi="Corbel" w:cs="Corbel"/>
                <w:sz w:val="24"/>
                <w:szCs w:val="24"/>
              </w:rPr>
              <w:t xml:space="preserve"> </w:t>
            </w:r>
            <w:r>
              <w:rPr>
                <w:rFonts w:ascii="Corbel" w:eastAsia="Corbel" w:hAnsi="Corbel" w:cs="Corbel"/>
                <w:i/>
                <w:sz w:val="24"/>
                <w:szCs w:val="24"/>
              </w:rPr>
              <w:t xml:space="preserve">Piękno kryminalistyki, </w:t>
            </w:r>
            <w:r>
              <w:rPr>
                <w:rFonts w:ascii="Corbel" w:eastAsia="Corbel" w:hAnsi="Corbel" w:cs="Corbel"/>
                <w:sz w:val="24"/>
                <w:szCs w:val="24"/>
              </w:rPr>
              <w:t>red. V. Kwiatkowska Wójcikiewicz, R. Krawczyk, D. Wilk, Wydawnictwo TNiOK Dom Organizatora, Toruń 2023, s. 475-494.</w:t>
            </w:r>
          </w:p>
          <w:p w14:paraId="2F69CD4A" w14:textId="77777777" w:rsidR="00184509" w:rsidRDefault="00184509">
            <w:pPr>
              <w:spacing w:after="0" w:line="240" w:lineRule="auto"/>
              <w:ind w:left="720"/>
              <w:rPr>
                <w:rFonts w:ascii="Corbel" w:eastAsia="Corbel" w:hAnsi="Corbel" w:cs="Corbel"/>
                <w:color w:val="000000"/>
                <w:sz w:val="24"/>
                <w:szCs w:val="24"/>
              </w:rPr>
            </w:pPr>
          </w:p>
        </w:tc>
      </w:tr>
    </w:tbl>
    <w:p w14:paraId="46311A8E" w14:textId="77777777" w:rsidR="00184509" w:rsidRDefault="00184509">
      <w:pPr>
        <w:pBdr>
          <w:top w:val="nil"/>
          <w:left w:val="nil"/>
          <w:bottom w:val="nil"/>
          <w:right w:val="nil"/>
          <w:between w:val="nil"/>
        </w:pBdr>
        <w:spacing w:after="0" w:line="240" w:lineRule="auto"/>
        <w:ind w:left="360"/>
        <w:rPr>
          <w:rFonts w:ascii="Corbel" w:eastAsia="Corbel" w:hAnsi="Corbel" w:cs="Corbel"/>
          <w:color w:val="000000"/>
          <w:sz w:val="24"/>
          <w:szCs w:val="24"/>
        </w:rPr>
      </w:pPr>
    </w:p>
    <w:p w14:paraId="64D4A435" w14:textId="77777777" w:rsidR="00184509" w:rsidRDefault="00184509">
      <w:pPr>
        <w:pBdr>
          <w:top w:val="nil"/>
          <w:left w:val="nil"/>
          <w:bottom w:val="nil"/>
          <w:right w:val="nil"/>
          <w:between w:val="nil"/>
        </w:pBdr>
        <w:spacing w:after="0" w:line="240" w:lineRule="auto"/>
        <w:ind w:left="360"/>
        <w:rPr>
          <w:rFonts w:ascii="Corbel" w:eastAsia="Corbel" w:hAnsi="Corbel" w:cs="Corbel"/>
          <w:color w:val="000000"/>
          <w:sz w:val="24"/>
          <w:szCs w:val="24"/>
        </w:rPr>
      </w:pPr>
    </w:p>
    <w:p w14:paraId="4CAC714D" w14:textId="77777777" w:rsidR="00184509" w:rsidRDefault="00095304">
      <w:pPr>
        <w:pBdr>
          <w:top w:val="nil"/>
          <w:left w:val="nil"/>
          <w:bottom w:val="nil"/>
          <w:right w:val="nil"/>
          <w:between w:val="nil"/>
        </w:pBdr>
        <w:spacing w:after="0" w:line="240" w:lineRule="auto"/>
        <w:ind w:left="360"/>
        <w:rPr>
          <w:rFonts w:ascii="Corbel" w:eastAsia="Corbel" w:hAnsi="Corbel" w:cs="Corbel"/>
          <w:b/>
          <w:smallCaps/>
          <w:color w:val="000000"/>
          <w:sz w:val="24"/>
          <w:szCs w:val="24"/>
        </w:rPr>
      </w:pPr>
      <w:r>
        <w:rPr>
          <w:rFonts w:ascii="Corbel" w:eastAsia="Corbel" w:hAnsi="Corbel" w:cs="Corbel"/>
          <w:color w:val="000000"/>
          <w:sz w:val="24"/>
          <w:szCs w:val="24"/>
        </w:rPr>
        <w:t>Akceptacja Kierownika Jednostki lub osoby upoważnionej</w:t>
      </w:r>
    </w:p>
    <w:sectPr w:rsidR="00184509">
      <w:pgSz w:w="11906" w:h="16838"/>
      <w:pgMar w:top="284" w:right="1134" w:bottom="709"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E3C6C" w14:textId="77777777" w:rsidR="00F66AC2" w:rsidRDefault="00F66AC2">
      <w:pPr>
        <w:spacing w:after="0" w:line="240" w:lineRule="auto"/>
      </w:pPr>
      <w:r>
        <w:separator/>
      </w:r>
    </w:p>
  </w:endnote>
  <w:endnote w:type="continuationSeparator" w:id="0">
    <w:p w14:paraId="0230F294" w14:textId="77777777" w:rsidR="00F66AC2" w:rsidRDefault="00F66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A7AFC" w14:textId="77777777" w:rsidR="00F66AC2" w:rsidRDefault="00F66AC2">
      <w:pPr>
        <w:spacing w:after="0" w:line="240" w:lineRule="auto"/>
      </w:pPr>
      <w:r>
        <w:separator/>
      </w:r>
    </w:p>
  </w:footnote>
  <w:footnote w:type="continuationSeparator" w:id="0">
    <w:p w14:paraId="6BB56F54" w14:textId="77777777" w:rsidR="00F66AC2" w:rsidRDefault="00F66AC2">
      <w:pPr>
        <w:spacing w:after="0" w:line="240" w:lineRule="auto"/>
      </w:pPr>
      <w:r>
        <w:continuationSeparator/>
      </w:r>
    </w:p>
  </w:footnote>
  <w:footnote w:id="1">
    <w:p w14:paraId="419D4FEA" w14:textId="77777777" w:rsidR="00184509" w:rsidRDefault="00095304">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1444E"/>
    <w:multiLevelType w:val="multilevel"/>
    <w:tmpl w:val="4EB86FD0"/>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7E24704A"/>
    <w:multiLevelType w:val="multilevel"/>
    <w:tmpl w:val="383CD5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47681566">
    <w:abstractNumId w:val="0"/>
  </w:num>
  <w:num w:numId="2" w16cid:durableId="1829401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509"/>
    <w:rsid w:val="000355DE"/>
    <w:rsid w:val="00095304"/>
    <w:rsid w:val="00184509"/>
    <w:rsid w:val="00356388"/>
    <w:rsid w:val="00835366"/>
    <w:rsid w:val="00B26464"/>
    <w:rsid w:val="00B540D6"/>
    <w:rsid w:val="00DB7C37"/>
    <w:rsid w:val="00F66A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ADD78"/>
  <w15:docId w15:val="{71623044-D16C-4B65-B40C-43E3FEC4B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9kTf+4ngkkiZoTaBz0GvS5L2drQ==">CgMxLjA4AHIhMUZwNndSSnNuSl94SkJTaFNYMTBfM1FXcG9CbGJWR25X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1225</Words>
  <Characters>7354</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6</cp:revision>
  <dcterms:created xsi:type="dcterms:W3CDTF">2023-10-10T08:18:00Z</dcterms:created>
  <dcterms:modified xsi:type="dcterms:W3CDTF">2023-10-30T10:54:00Z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