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7A211E4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022321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022321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F543D1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022321">
        <w:rPr>
          <w:rFonts w:ascii="Corbel" w:hAnsi="Corbel"/>
          <w:i/>
          <w:smallCaps/>
          <w:sz w:val="24"/>
          <w:szCs w:val="24"/>
        </w:rPr>
        <w:t>1</w:t>
      </w:r>
      <w:r w:rsidR="002F4B94">
        <w:rPr>
          <w:rFonts w:ascii="Corbel" w:hAnsi="Corbel"/>
          <w:i/>
          <w:smallCaps/>
          <w:sz w:val="24"/>
          <w:szCs w:val="24"/>
        </w:rPr>
        <w:t>- 202</w:t>
      </w:r>
      <w:r w:rsidR="00022321">
        <w:rPr>
          <w:rFonts w:ascii="Corbel" w:hAnsi="Corbel"/>
          <w:i/>
          <w:smallCaps/>
          <w:sz w:val="24"/>
          <w:szCs w:val="24"/>
        </w:rPr>
        <w:t>2</w:t>
      </w:r>
      <w:r w:rsidR="002F4B94">
        <w:rPr>
          <w:rFonts w:ascii="Corbel" w:hAnsi="Corbel"/>
          <w:i/>
          <w:smallCaps/>
          <w:sz w:val="24"/>
          <w:szCs w:val="24"/>
        </w:rPr>
        <w:t xml:space="preserve"> – 202</w:t>
      </w:r>
      <w:r w:rsidR="00022321">
        <w:rPr>
          <w:rFonts w:ascii="Corbel" w:hAnsi="Corbel"/>
          <w:i/>
          <w:smallCaps/>
          <w:sz w:val="24"/>
          <w:szCs w:val="24"/>
        </w:rPr>
        <w:t>5</w:t>
      </w:r>
      <w:r w:rsidR="002F4B94">
        <w:rPr>
          <w:rFonts w:ascii="Corbel" w:hAnsi="Corbel"/>
          <w:i/>
          <w:smallCaps/>
          <w:sz w:val="24"/>
          <w:szCs w:val="24"/>
        </w:rPr>
        <w:t>/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022321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81C562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</w:t>
      </w:r>
      <w:r w:rsidR="00800DCE">
        <w:rPr>
          <w:rFonts w:ascii="Corbel" w:hAnsi="Corbel"/>
          <w:sz w:val="20"/>
          <w:szCs w:val="20"/>
        </w:rPr>
        <w:t>202</w:t>
      </w:r>
      <w:r w:rsidR="00022321">
        <w:rPr>
          <w:rFonts w:ascii="Corbel" w:hAnsi="Corbel"/>
          <w:sz w:val="20"/>
          <w:szCs w:val="20"/>
        </w:rPr>
        <w:t>3</w:t>
      </w:r>
      <w:r w:rsidR="00800DCE">
        <w:rPr>
          <w:rFonts w:ascii="Corbel" w:hAnsi="Corbel"/>
          <w:sz w:val="20"/>
          <w:szCs w:val="20"/>
        </w:rPr>
        <w:t>/202</w:t>
      </w:r>
      <w:r w:rsidR="00022321">
        <w:rPr>
          <w:rFonts w:ascii="Corbel" w:hAnsi="Corbel"/>
          <w:sz w:val="20"/>
          <w:szCs w:val="20"/>
        </w:rPr>
        <w:t>4</w:t>
      </w:r>
      <w:r w:rsidRPr="00B169DF">
        <w:rPr>
          <w:rFonts w:ascii="Corbel" w:hAnsi="Corbel"/>
          <w:sz w:val="20"/>
          <w:szCs w:val="20"/>
        </w:rPr>
        <w:t>............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3668E4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wykroczeń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D733EA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1B779C0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Zakład Prawa Karnego Procesowego</w:t>
            </w: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6D252FD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E296B0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20F474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B146455" w:rsidR="0085747A" w:rsidRPr="00B169DF" w:rsidRDefault="00B75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F74EB15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1615746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D389926" w:rsidR="00923D7D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662F2" w14:textId="5FFEAD4D" w:rsidR="00A5441E" w:rsidRDefault="00A5441E" w:rsidP="00A5441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P. K. Sowiński, 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0F0450C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38AA5E" w14:textId="67421BF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 K. Sowiński, prof. UR,</w:t>
            </w:r>
            <w:r w:rsidR="002F4B94">
              <w:rPr>
                <w:rFonts w:ascii="Corbel" w:hAnsi="Corbel"/>
                <w:b w:val="0"/>
                <w:sz w:val="24"/>
                <w:szCs w:val="24"/>
              </w:rPr>
              <w:t xml:space="preserve"> dr hab. Jerzy Nikolajew, prof. UR</w:t>
            </w:r>
          </w:p>
          <w:p w14:paraId="7AECC2C5" w14:textId="0A9C5B66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M. Klejnowska, prof. UR,</w:t>
            </w:r>
          </w:p>
          <w:p w14:paraId="6C837949" w14:textId="176DA13E" w:rsidR="0085747A" w:rsidRPr="000C7F27" w:rsidRDefault="00A5441E" w:rsidP="002F4B9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A. Masłowska, </w:t>
            </w:r>
            <w:r w:rsidR="002F4B94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B. Bachurska,</w:t>
            </w:r>
            <w:r w:rsidR="002F4B9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0C7F27">
              <w:rPr>
                <w:rFonts w:ascii="Corbel" w:hAnsi="Corbel"/>
                <w:b w:val="0"/>
                <w:bCs/>
                <w:sz w:val="24"/>
                <w:szCs w:val="24"/>
              </w:rPr>
              <w:t>Mgr D. Barczak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A976B80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C786DE4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31C8683" w:rsidR="00015B8F" w:rsidRPr="00B169DF" w:rsidRDefault="002F4B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0E661DF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1457ABC" w:rsidR="0085747A" w:rsidRPr="00B169DF" w:rsidRDefault="00A544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1C85EF" w14:textId="086142C2" w:rsidR="000C7F27" w:rsidRPr="000C7F27" w:rsidRDefault="000C7F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C7F27">
        <w:rPr>
          <w:rFonts w:ascii="Corbel" w:hAnsi="Corbel"/>
          <w:b w:val="0"/>
          <w:bCs/>
          <w:smallCaps w:val="0"/>
          <w:szCs w:val="24"/>
        </w:rPr>
        <w:t>zaliczenie na ocenę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89C6F3B" w:rsidR="0085747A" w:rsidRPr="00B169DF" w:rsidRDefault="00056D2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wykroczeń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materialnego i procesowego, definicję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wykroczenia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zasady wyłączenia odpowiedzialności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 wykroczenie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zasady postępowania przez organami wymiaru sprawiedliwości oraz role pełnione przez poszczególnych uczestników tego postępowania, umieć zastosować metody interpretacji normy prawnej, umieć zastosować wnioskowania prawnicze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056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11360008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owania w sprawach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o wykroczenia</w:t>
            </w:r>
          </w:p>
        </w:tc>
      </w:tr>
      <w:tr w:rsidR="0085747A" w:rsidRPr="00B169DF" w14:paraId="497B1469" w14:textId="77777777" w:rsidTr="00056D28">
        <w:tc>
          <w:tcPr>
            <w:tcW w:w="844" w:type="dxa"/>
            <w:vAlign w:val="center"/>
          </w:tcPr>
          <w:p w14:paraId="053C821F" w14:textId="5EFB49CE" w:rsidR="0085747A" w:rsidRPr="00B169DF" w:rsidRDefault="00056D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2F88C8C6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0C7F27" w:rsidRPr="00C753F0" w14:paraId="0C7433EB" w14:textId="77777777" w:rsidTr="00D9526B">
        <w:tc>
          <w:tcPr>
            <w:tcW w:w="1701" w:type="dxa"/>
            <w:vAlign w:val="center"/>
          </w:tcPr>
          <w:p w14:paraId="757014CA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DA74C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2BDF53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F27" w:rsidRPr="00C753F0" w14:paraId="02BFEFD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6D0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BC8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C4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C7F27" w:rsidRPr="00C753F0" w14:paraId="7ECE4615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83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86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91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1C6BD0A3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D7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F3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19B7772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94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0C7F27" w:rsidRPr="00C753F0" w14:paraId="6AC0422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B4E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0B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1EE0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5E1AA46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6A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80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D0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0C7F27" w:rsidRPr="00C753F0" w14:paraId="19B2D2A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0B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79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A5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7F27" w:rsidRPr="00C753F0" w14:paraId="29F1465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91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ACE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030DF07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0E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3C65D6E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C7F27" w:rsidRPr="00C753F0" w14:paraId="49A92B8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25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B8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8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6293582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0C7F27" w:rsidRPr="00C753F0" w14:paraId="43A110A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A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B0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477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43F5B15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C7F27" w:rsidRPr="00C753F0" w14:paraId="2E460551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8D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EB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67D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K_K01,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0C7F27" w:rsidRPr="00C753F0" w14:paraId="430FD1D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B63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1E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ED5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C7F27" w:rsidRPr="00C753F0" w14:paraId="1BBE40AC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2C4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F4F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B4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0C7F27" w:rsidRPr="00C753F0" w14:paraId="5DE8484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82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72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3FCB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74CAD0C" w14:textId="77777777" w:rsidR="000C7F27" w:rsidRPr="00B169DF" w:rsidRDefault="000C7F2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7023F3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144715535"/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bookmarkEnd w:id="0"/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7F27" w:rsidRPr="00B169DF" w14:paraId="5E6A8E82" w14:textId="77777777" w:rsidTr="00D9526B">
        <w:tc>
          <w:tcPr>
            <w:tcW w:w="9520" w:type="dxa"/>
          </w:tcPr>
          <w:p w14:paraId="56C4FEA9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F27" w:rsidRPr="00B169DF" w14:paraId="005EE330" w14:textId="77777777" w:rsidTr="00D9526B">
        <w:tc>
          <w:tcPr>
            <w:tcW w:w="9520" w:type="dxa"/>
          </w:tcPr>
          <w:p w14:paraId="38E9E765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0C7F27" w:rsidRPr="00B169DF" w14:paraId="1BCBC100" w14:textId="77777777" w:rsidTr="00D9526B">
        <w:tc>
          <w:tcPr>
            <w:tcW w:w="9520" w:type="dxa"/>
          </w:tcPr>
          <w:p w14:paraId="533E6594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0C7F27" w:rsidRPr="00B169DF" w14:paraId="13AE2880" w14:textId="77777777" w:rsidTr="00D9526B">
        <w:tc>
          <w:tcPr>
            <w:tcW w:w="9520" w:type="dxa"/>
          </w:tcPr>
          <w:p w14:paraId="72B7E3E1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0C7F27" w:rsidRPr="00B169DF" w14:paraId="1169A260" w14:textId="77777777" w:rsidTr="00D9526B">
        <w:tc>
          <w:tcPr>
            <w:tcW w:w="9520" w:type="dxa"/>
          </w:tcPr>
          <w:p w14:paraId="1B54706C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0C7F27" w:rsidRPr="00B169DF" w14:paraId="7E4F8EEB" w14:textId="77777777" w:rsidTr="00D9526B">
        <w:tc>
          <w:tcPr>
            <w:tcW w:w="9520" w:type="dxa"/>
          </w:tcPr>
          <w:p w14:paraId="1C86E6C3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0C7F27" w:rsidRPr="00B169DF" w14:paraId="7C9C237A" w14:textId="77777777" w:rsidTr="00D9526B">
        <w:tc>
          <w:tcPr>
            <w:tcW w:w="9520" w:type="dxa"/>
          </w:tcPr>
          <w:p w14:paraId="4D2AC38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0C7F27" w:rsidRPr="00B169DF" w14:paraId="511B8631" w14:textId="77777777" w:rsidTr="00D9526B">
        <w:tc>
          <w:tcPr>
            <w:tcW w:w="9520" w:type="dxa"/>
          </w:tcPr>
          <w:p w14:paraId="0D09EED1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0C7F27" w:rsidRPr="00B169DF" w14:paraId="6AF80C00" w14:textId="77777777" w:rsidTr="00D9526B">
        <w:tc>
          <w:tcPr>
            <w:tcW w:w="9520" w:type="dxa"/>
          </w:tcPr>
          <w:p w14:paraId="27F7DD7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0C7F27" w:rsidRPr="00B169DF" w14:paraId="62F479E3" w14:textId="77777777" w:rsidTr="00D9526B">
        <w:tc>
          <w:tcPr>
            <w:tcW w:w="9520" w:type="dxa"/>
          </w:tcPr>
          <w:p w14:paraId="48F139CF" w14:textId="77777777" w:rsidR="000C7F27" w:rsidRPr="00C753F0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6943A3EC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przesłanki procesowe (1)</w:t>
            </w:r>
          </w:p>
        </w:tc>
      </w:tr>
      <w:tr w:rsidR="000C7F27" w:rsidRPr="00B169DF" w14:paraId="67975AC8" w14:textId="77777777" w:rsidTr="00D9526B">
        <w:tc>
          <w:tcPr>
            <w:tcW w:w="9520" w:type="dxa"/>
          </w:tcPr>
          <w:p w14:paraId="57F4DB8B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0C7F27" w:rsidRPr="00B169DF" w14:paraId="0F1EC26E" w14:textId="77777777" w:rsidTr="00D9526B">
        <w:tc>
          <w:tcPr>
            <w:tcW w:w="9520" w:type="dxa"/>
          </w:tcPr>
          <w:p w14:paraId="34828B17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0C7F27" w:rsidRPr="00B169DF" w14:paraId="1F259BED" w14:textId="77777777" w:rsidTr="00D9526B">
        <w:tc>
          <w:tcPr>
            <w:tcW w:w="9520" w:type="dxa"/>
          </w:tcPr>
          <w:p w14:paraId="2A15BDF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0C7F27" w:rsidRPr="00B169DF" w14:paraId="03F6E25A" w14:textId="77777777" w:rsidTr="00D9526B">
        <w:tc>
          <w:tcPr>
            <w:tcW w:w="9520" w:type="dxa"/>
          </w:tcPr>
          <w:p w14:paraId="00DB9BDB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0C7F27" w:rsidRPr="00B169DF" w14:paraId="536BB98E" w14:textId="77777777" w:rsidTr="00D9526B">
        <w:tc>
          <w:tcPr>
            <w:tcW w:w="9520" w:type="dxa"/>
          </w:tcPr>
          <w:p w14:paraId="3156363E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0C7F27" w:rsidRPr="00B169DF" w14:paraId="141B4630" w14:textId="77777777" w:rsidTr="00D9526B">
        <w:tc>
          <w:tcPr>
            <w:tcW w:w="9520" w:type="dxa"/>
          </w:tcPr>
          <w:p w14:paraId="66BA4CA5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0C7F27" w:rsidRPr="00B169DF" w14:paraId="0BE96638" w14:textId="77777777" w:rsidTr="00D9526B">
        <w:tc>
          <w:tcPr>
            <w:tcW w:w="9520" w:type="dxa"/>
          </w:tcPr>
          <w:p w14:paraId="756056A8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0C7F27" w:rsidRPr="00B169DF" w14:paraId="559B544F" w14:textId="77777777" w:rsidTr="00D9526B">
        <w:tc>
          <w:tcPr>
            <w:tcW w:w="9520" w:type="dxa"/>
          </w:tcPr>
          <w:p w14:paraId="14031723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0C7F27" w:rsidRPr="00B169DF" w14:paraId="2D71A0F6" w14:textId="77777777" w:rsidTr="00D9526B">
        <w:tc>
          <w:tcPr>
            <w:tcW w:w="9520" w:type="dxa"/>
          </w:tcPr>
          <w:p w14:paraId="42FE3630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7A45074F" w14:textId="77777777" w:rsidR="000C7F27" w:rsidRPr="00B169DF" w:rsidRDefault="000C7F27" w:rsidP="000C7F2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247C5A6D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862A8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862A8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6D760464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4D1F06B9" w14:textId="157C178D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5747A" w:rsidRPr="00B169DF" w14:paraId="635E67C7" w14:textId="77777777" w:rsidTr="00E862A8">
        <w:tc>
          <w:tcPr>
            <w:tcW w:w="1962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22BC82" w14:textId="25A8FAA6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05A69994" w14:textId="14F09D79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6A0C224B" w14:textId="77777777" w:rsidTr="00E862A8">
        <w:tc>
          <w:tcPr>
            <w:tcW w:w="1962" w:type="dxa"/>
          </w:tcPr>
          <w:p w14:paraId="249C657F" w14:textId="510DA42F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EEE85DE" w14:textId="4B306018" w:rsidR="00E862A8" w:rsidRPr="00B169DF" w:rsidRDefault="00E862A8" w:rsidP="00E862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F924920" w14:textId="37F5CB9F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22E0A16C" w14:textId="77777777" w:rsidTr="00E862A8">
        <w:tc>
          <w:tcPr>
            <w:tcW w:w="1962" w:type="dxa"/>
          </w:tcPr>
          <w:p w14:paraId="793D27A0" w14:textId="6711AAB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3A262C5F" w14:textId="2825DE38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65810D1B" w14:textId="1FD49D9D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4996692D" w14:textId="77777777" w:rsidTr="00E862A8">
        <w:tc>
          <w:tcPr>
            <w:tcW w:w="1962" w:type="dxa"/>
          </w:tcPr>
          <w:p w14:paraId="2689BEE0" w14:textId="0433FAE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D6C683A" w14:textId="4DCF73EC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2E72C2D" w14:textId="34B068F8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55DF6B7B" w14:textId="77777777" w:rsidTr="00E862A8">
        <w:tc>
          <w:tcPr>
            <w:tcW w:w="1962" w:type="dxa"/>
          </w:tcPr>
          <w:p w14:paraId="0B3FB416" w14:textId="0356C11C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5EC6126" w14:textId="04C11442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857A846" w14:textId="4B317AA5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518F9294" w14:textId="77777777" w:rsidTr="00E862A8">
        <w:tc>
          <w:tcPr>
            <w:tcW w:w="1962" w:type="dxa"/>
          </w:tcPr>
          <w:p w14:paraId="5D2D5A52" w14:textId="522F6713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1" w:type="dxa"/>
          </w:tcPr>
          <w:p w14:paraId="2FEEF027" w14:textId="6EF7366B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C7FE560" w14:textId="3099D1A3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3544BCBD" w14:textId="77777777" w:rsidTr="00E862A8">
        <w:tc>
          <w:tcPr>
            <w:tcW w:w="1962" w:type="dxa"/>
          </w:tcPr>
          <w:p w14:paraId="665BBBD9" w14:textId="7194613B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84258C2" w14:textId="38D20CA7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5453FE04" w14:textId="153A31D4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19AB386E" w14:textId="77777777" w:rsidTr="00E862A8">
        <w:tc>
          <w:tcPr>
            <w:tcW w:w="1962" w:type="dxa"/>
          </w:tcPr>
          <w:p w14:paraId="4BC3750D" w14:textId="274C6AB2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1" w:type="dxa"/>
          </w:tcPr>
          <w:p w14:paraId="246E58E1" w14:textId="44E2A63D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8546B75" w14:textId="26AE0204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862A8" w:rsidRPr="00B169DF" w14:paraId="2DE02FB9" w14:textId="77777777" w:rsidTr="00E862A8">
        <w:tc>
          <w:tcPr>
            <w:tcW w:w="1962" w:type="dxa"/>
          </w:tcPr>
          <w:p w14:paraId="7EAAF2A1" w14:textId="4EE348C1" w:rsidR="00E862A8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7F2AF99A" w14:textId="40B216FA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EB69789" w14:textId="160679A1" w:rsidR="00E862A8" w:rsidRPr="00B169DF" w:rsidRDefault="00152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033F53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14:paraId="2BA11C0F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5EBE3B2C" w14:textId="77777777" w:rsidR="004F5CFC" w:rsidRPr="00C753F0" w:rsidRDefault="004F5CFC" w:rsidP="004F5CFC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charakterze kazusowym  </w:t>
            </w:r>
          </w:p>
          <w:p w14:paraId="41B0839C" w14:textId="42F0EB04" w:rsidR="00923D7D" w:rsidRPr="00B169DF" w:rsidRDefault="004F5CFC" w:rsidP="004F5C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>Zaliczenie pisemne  oraz ustne</w:t>
            </w:r>
            <w:r w:rsidRPr="00C753F0"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 xml:space="preserve"> na ocenę pozytywną wymaga uzyskania co najmniej 50% poprawnych odpowiedzi.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9CE96CF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357C7DEF" w:rsidR="00C61DC5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E1F40AA" w:rsidR="00C61DC5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F4B9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F3A2BBC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2F4B9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F57C207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49B424F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BD6F81A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544F6A" w14:textId="1F875D4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F5CFC" w:rsidRPr="00C753F0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- </w:t>
            </w:r>
            <w:r w:rsidR="004F5CFC" w:rsidRPr="004F5CFC">
              <w:rPr>
                <w:rFonts w:ascii="Corbel" w:eastAsia="Times New Roman" w:hAnsi="Corbel"/>
                <w:b w:val="0"/>
                <w:bCs/>
                <w:color w:val="000000"/>
                <w:szCs w:val="24"/>
                <w:lang w:eastAsia="pl-PL"/>
              </w:rPr>
              <w:t xml:space="preserve">A. Marek, Prawo wykroczeń (materialne i procesowe), Warszawa </w:t>
            </w:r>
            <w:r w:rsidR="004F5CFC" w:rsidRPr="004F5CFC">
              <w:rPr>
                <w:rFonts w:ascii="Corbel" w:eastAsia="Times New Roman" w:hAnsi="Corbel" w:cs="Calibri"/>
                <w:b w:val="0"/>
                <w:bCs/>
                <w:color w:val="000000"/>
                <w:szCs w:val="24"/>
                <w:lang w:eastAsia="pl-PL"/>
              </w:rPr>
              <w:t>2019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81D194F" w14:textId="77777777" w:rsidR="004F5CFC" w:rsidRDefault="0085747A" w:rsidP="004F5CFC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4F5CFC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4F5CF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2019,</w:t>
            </w:r>
          </w:p>
          <w:p w14:paraId="4596EFF9" w14:textId="5F60A8C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BFB77" w14:textId="77777777" w:rsidR="00574CBC" w:rsidRDefault="00574CBC" w:rsidP="00C16ABF">
      <w:pPr>
        <w:spacing w:after="0" w:line="240" w:lineRule="auto"/>
      </w:pPr>
      <w:r>
        <w:separator/>
      </w:r>
    </w:p>
  </w:endnote>
  <w:endnote w:type="continuationSeparator" w:id="0">
    <w:p w14:paraId="71907F46" w14:textId="77777777" w:rsidR="00574CBC" w:rsidRDefault="00574C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6D58" w14:textId="77777777" w:rsidR="00574CBC" w:rsidRDefault="00574CBC" w:rsidP="00C16ABF">
      <w:pPr>
        <w:spacing w:after="0" w:line="240" w:lineRule="auto"/>
      </w:pPr>
      <w:r>
        <w:separator/>
      </w:r>
    </w:p>
  </w:footnote>
  <w:footnote w:type="continuationSeparator" w:id="0">
    <w:p w14:paraId="686B07D5" w14:textId="77777777" w:rsidR="00574CBC" w:rsidRDefault="00574CBC" w:rsidP="00C16ABF">
      <w:pPr>
        <w:spacing w:after="0" w:line="240" w:lineRule="auto"/>
      </w:pPr>
      <w:r>
        <w:continuationSeparator/>
      </w:r>
    </w:p>
  </w:footnote>
  <w:footnote w:id="1">
    <w:p w14:paraId="3329BD9C" w14:textId="77777777" w:rsidR="000C7F27" w:rsidRDefault="000C7F27" w:rsidP="000C7F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321"/>
    <w:rsid w:val="00022ECE"/>
    <w:rsid w:val="00042A51"/>
    <w:rsid w:val="00042D2E"/>
    <w:rsid w:val="00044C82"/>
    <w:rsid w:val="00056D2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2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DE7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B94"/>
    <w:rsid w:val="003018BA"/>
    <w:rsid w:val="0030395F"/>
    <w:rsid w:val="00305805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5CFC"/>
    <w:rsid w:val="0050496F"/>
    <w:rsid w:val="00511744"/>
    <w:rsid w:val="00513B6F"/>
    <w:rsid w:val="00517C63"/>
    <w:rsid w:val="005363C4"/>
    <w:rsid w:val="00536BDE"/>
    <w:rsid w:val="00543ACC"/>
    <w:rsid w:val="00551394"/>
    <w:rsid w:val="0056696D"/>
    <w:rsid w:val="00574CBC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3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DC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41E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3D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2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4BC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2023-10-18T06:19:00Z</dcterms:created>
  <dcterms:modified xsi:type="dcterms:W3CDTF">2023-10-31T07:56:00Z</dcterms:modified>
</cp:coreProperties>
</file>