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8466FE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8466FE">
        <w:rPr>
          <w:rFonts w:ascii="Corbel" w:hAnsi="Corbel"/>
          <w:b/>
          <w:bCs/>
        </w:rPr>
        <w:t xml:space="preserve">   </w:t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8466FE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8466FE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7D9809FE" w:rsidR="00CD36F8" w:rsidRPr="008466FE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8466FE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6D20CE" w:rsidRPr="006D20CE">
        <w:rPr>
          <w:rFonts w:ascii="Corbel" w:hAnsi="Corbel" w:cs="Corbel"/>
          <w:b/>
          <w:smallCaps/>
          <w:sz w:val="24"/>
          <w:szCs w:val="24"/>
        </w:rPr>
        <w:t>2020/2021-2024/2025</w:t>
      </w:r>
    </w:p>
    <w:p w14:paraId="59ADD6F1" w14:textId="4456AD97" w:rsidR="00CD36F8" w:rsidRPr="008466FE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8466FE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D20CE">
        <w:rPr>
          <w:rFonts w:ascii="Corbel" w:hAnsi="Corbel" w:cs="Corbel"/>
          <w:i/>
          <w:sz w:val="24"/>
          <w:szCs w:val="24"/>
        </w:rPr>
        <w:t>(skrajne daty)</w:t>
      </w:r>
      <w:bookmarkStart w:id="0" w:name="_GoBack"/>
      <w:bookmarkEnd w:id="0"/>
    </w:p>
    <w:p w14:paraId="7D1BC07A" w14:textId="45B23196" w:rsidR="00CD36F8" w:rsidRPr="008466FE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  <w:t xml:space="preserve">Rok akademicki </w:t>
      </w:r>
      <w:r w:rsidR="006D20CE">
        <w:rPr>
          <w:rFonts w:ascii="Corbel" w:hAnsi="Corbel"/>
          <w:sz w:val="24"/>
          <w:szCs w:val="24"/>
        </w:rPr>
        <w:t>2023/2024</w:t>
      </w:r>
    </w:p>
    <w:p w14:paraId="2CB3FBDC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8466FE" w14:paraId="18E7A12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77777777" w:rsidR="00CD36F8" w:rsidRPr="008466FE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Postępowanie administracyjne</w:t>
            </w:r>
            <w:r w:rsidR="002D57EA"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8466FE" w14:paraId="352692B4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77777777" w:rsidR="00CD36F8" w:rsidRPr="008466FE" w:rsidRDefault="00CD36F8">
            <w:pPr>
              <w:spacing w:after="0" w:line="100" w:lineRule="atLeast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PRP33</w:t>
            </w:r>
          </w:p>
        </w:tc>
      </w:tr>
      <w:tr w:rsidR="00CD36F8" w:rsidRPr="008466FE" w14:paraId="56F3D2B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8466FE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8466FE" w:rsidRDefault="002D57EA">
            <w:pPr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376AE4" w:rsidRPr="008466FE" w14:paraId="14175BC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11C1A28B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376AE4" w:rsidRPr="008466FE" w14:paraId="09C6961F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376AE4" w:rsidRPr="008466FE" w14:paraId="77DA1B4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376AE4" w:rsidRPr="008466FE" w14:paraId="0002BC0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376AE4" w:rsidRPr="008466FE" w14:paraId="3A3BB04E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Niestacjonarne</w:t>
            </w:r>
          </w:p>
        </w:tc>
      </w:tr>
      <w:tr w:rsidR="00376AE4" w:rsidRPr="008466FE" w14:paraId="0F529AC9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8466FE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376AE4" w:rsidRPr="008466FE" w14:paraId="0297C87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376AE4" w:rsidRPr="008466FE" w14:paraId="3ED7E20A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376AE4" w:rsidRPr="008466FE" w:rsidRDefault="00376AE4" w:rsidP="00376AE4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376AE4" w:rsidRPr="008466FE" w14:paraId="03083E0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376AE4" w:rsidRPr="008466FE" w14:paraId="7DD173B0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376AE4" w:rsidRPr="008466FE" w:rsidRDefault="00376AE4" w:rsidP="00376AE4">
            <w:pPr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8466FE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* </w:t>
      </w:r>
      <w:r w:rsidRPr="008466FE">
        <w:rPr>
          <w:rFonts w:ascii="Corbel" w:hAnsi="Corbel" w:cs="Corbel"/>
          <w:i/>
          <w:sz w:val="24"/>
          <w:szCs w:val="24"/>
        </w:rPr>
        <w:t>-</w:t>
      </w:r>
      <w:r w:rsidRPr="008466FE">
        <w:rPr>
          <w:rFonts w:ascii="Corbel" w:hAnsi="Corbel" w:cs="Corbel"/>
          <w:b w:val="0"/>
          <w:i/>
          <w:sz w:val="24"/>
          <w:szCs w:val="24"/>
        </w:rPr>
        <w:t>opcjonalni</w:t>
      </w:r>
      <w:r w:rsidRPr="008466FE">
        <w:rPr>
          <w:rFonts w:ascii="Corbel" w:hAnsi="Corbel" w:cs="Corbel"/>
          <w:b w:val="0"/>
          <w:sz w:val="24"/>
          <w:szCs w:val="24"/>
        </w:rPr>
        <w:t>e,</w:t>
      </w:r>
      <w:r w:rsidRPr="008466FE">
        <w:rPr>
          <w:rFonts w:ascii="Corbel" w:hAnsi="Corbel" w:cs="Corbel"/>
          <w:i/>
          <w:sz w:val="24"/>
          <w:szCs w:val="24"/>
        </w:rPr>
        <w:t xml:space="preserve"> </w:t>
      </w:r>
      <w:r w:rsidRPr="008466FE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8466FE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8466FE" w14:paraId="472E299E" w14:textId="77777777" w:rsidTr="00376AE4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C75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8466FE" w14:paraId="0DE2B604" w14:textId="77777777" w:rsidTr="00376AE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5EF9" w14:textId="77777777" w:rsidR="00CD36F8" w:rsidRPr="008466FE" w:rsidRDefault="00CD36F8" w:rsidP="00376AE4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V</w:t>
            </w:r>
            <w:r w:rsidRPr="008466FE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424D154B" w:rsidR="00CD36F8" w:rsidRPr="008466FE" w:rsidRDefault="00256A63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8466FE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Pr="008466FE" w:rsidRDefault="00CD36F8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31DB3CD1" w14:textId="77777777" w:rsidR="00CD36F8" w:rsidRPr="008466FE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8466FE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1.2.</w:t>
      </w:r>
      <w:r w:rsidRPr="008466FE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8466FE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8466FE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8466FE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8466FE">
        <w:rPr>
          <w:rFonts w:ascii="Corbel" w:eastAsia="MS Gothic" w:hAnsi="Corbel" w:cs="MS Gothic"/>
          <w:b w:val="0"/>
          <w:szCs w:val="24"/>
        </w:rPr>
        <w:t>x</w:t>
      </w:r>
      <w:r w:rsidR="00CD36F8" w:rsidRPr="008466FE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8466FE">
        <w:rPr>
          <w:rFonts w:ascii="Corbel" w:hAnsi="Corbel" w:cs="Corbel"/>
          <w:smallCaps w:val="0"/>
          <w:szCs w:val="24"/>
        </w:rPr>
        <w:t xml:space="preserve">1.3 </w:t>
      </w:r>
      <w:r w:rsidRPr="008466FE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8466FE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69621E7" w14:textId="77777777" w:rsidR="00376AE4" w:rsidRPr="008466FE" w:rsidRDefault="00376AE4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127B7DCF" w:rsidR="00CD36F8" w:rsidRPr="008466FE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3E646F04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 xml:space="preserve">2.Wymagania wstępne </w:t>
      </w:r>
    </w:p>
    <w:p w14:paraId="2E03CCE3" w14:textId="77777777" w:rsidR="00376AE4" w:rsidRPr="008466FE" w:rsidRDefault="00376AE4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8466FE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316D04F8" w:rsidR="00CD36F8" w:rsidRPr="008466FE" w:rsidRDefault="00CD36F8" w:rsidP="00376AE4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8466FE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8466FE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8466FE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8466FE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8466FE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4CE73662" w14:textId="77777777" w:rsidR="00256A63" w:rsidRPr="008466FE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Pr="008466FE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>3.2 Efekty uczenia się dla przedmiotu</w:t>
      </w:r>
      <w:r w:rsidRPr="008466FE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20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376AE4" w:rsidRPr="008466FE" w14:paraId="35CA06F6" w14:textId="77777777" w:rsidTr="00376AE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4694" w14:textId="71F026E8" w:rsidR="00376AE4" w:rsidRPr="008466FE" w:rsidRDefault="00376AE4" w:rsidP="00376AE4">
            <w:pPr>
              <w:spacing w:after="0" w:line="240" w:lineRule="auto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6E7D" w14:textId="2C0B495E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02AD8475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Odniesienie do efektów  kierunkowych </w:t>
            </w:r>
            <w:r w:rsidRPr="008466FE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CD36F8" w:rsidRPr="008466FE" w14:paraId="7C0D7C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</w:t>
            </w:r>
            <w:r w:rsidRPr="008466FE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</w:t>
            </w:r>
            <w:r w:rsidR="00CD36F8" w:rsidRPr="008466FE">
              <w:rPr>
                <w:rFonts w:ascii="Corbel" w:eastAsia="Cambria" w:hAnsi="Corbel"/>
              </w:rPr>
              <w:t>ymienia poszczególne etapy i instytucje procedury administracyjnej</w:t>
            </w:r>
            <w:r w:rsidRPr="008466FE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8466FE" w14:paraId="6A71777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8466FE" w:rsidRDefault="002A4751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466FE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8466FE" w14:paraId="6CD5BA0A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8466FE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77777777" w:rsidR="00CD36F8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D</w:t>
            </w:r>
            <w:r w:rsidR="00CD36F8" w:rsidRPr="008466FE">
              <w:rPr>
                <w:rFonts w:ascii="Corbel" w:eastAsia="Cambria" w:hAnsi="Corbel"/>
              </w:rPr>
              <w:t>efiniuje kluczowe pojęcia procedury administracyjnej</w:t>
            </w:r>
            <w:r w:rsidRPr="008466FE">
              <w:rPr>
                <w:rFonts w:ascii="Corbel" w:eastAsia="Cambria" w:hAnsi="Corbel"/>
              </w:rPr>
              <w:t xml:space="preserve"> i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</w:t>
            </w:r>
            <w:r w:rsidR="002A4751" w:rsidRPr="008466FE">
              <w:rPr>
                <w:rFonts w:ascii="Corbel" w:eastAsia="Cambria" w:hAnsi="Corbel"/>
              </w:rPr>
              <w:t>6</w:t>
            </w:r>
          </w:p>
        </w:tc>
      </w:tr>
      <w:tr w:rsidR="007444C0" w:rsidRPr="008466FE" w14:paraId="60B21B3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Posiada pogłębioną wiedzę o ewolucji procedury administracyjnej i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8466FE" w14:paraId="03219580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8466FE">
              <w:rPr>
                <w:rFonts w:ascii="Corbel" w:eastAsia="Cambria" w:hAnsi="Corbel"/>
              </w:rPr>
              <w:t xml:space="preserve">ochronie praw strony oraz </w:t>
            </w:r>
            <w:r w:rsidRPr="008466FE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  <w:r w:rsidR="002A4751" w:rsidRPr="008466FE">
              <w:rPr>
                <w:rFonts w:ascii="Corbel" w:eastAsia="Cambria" w:hAnsi="Corbel"/>
              </w:rPr>
              <w:t>, K_W07,</w:t>
            </w:r>
          </w:p>
        </w:tc>
      </w:tr>
      <w:tr w:rsidR="00CD36F8" w:rsidRPr="008466FE" w14:paraId="448A2801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8466FE">
              <w:rPr>
                <w:rFonts w:ascii="Corbel" w:eastAsia="Cambria" w:hAnsi="Corbel"/>
              </w:rPr>
              <w:t>przywołu</w:t>
            </w:r>
            <w:r w:rsidRPr="008466FE">
              <w:rPr>
                <w:rFonts w:ascii="Corbel" w:eastAsia="Cambria" w:hAnsi="Corbel"/>
              </w:rPr>
              <w:t>jąc</w:t>
            </w:r>
            <w:r w:rsidR="00CD36F8" w:rsidRPr="008466FE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K_U06,</w:t>
            </w:r>
          </w:p>
          <w:p w14:paraId="1604785C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K_U10,</w:t>
            </w:r>
          </w:p>
        </w:tc>
      </w:tr>
      <w:tr w:rsidR="007444C0" w:rsidRPr="008466FE" w14:paraId="742CF75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K_U13,</w:t>
            </w:r>
          </w:p>
        </w:tc>
      </w:tr>
      <w:tr w:rsidR="00CD36F8" w:rsidRPr="008466FE" w14:paraId="77C9F6A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77777777" w:rsidR="00CD36F8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8466FE">
              <w:rPr>
                <w:rFonts w:ascii="Corbel" w:eastAsia="Cambria" w:hAnsi="Corbel"/>
              </w:rPr>
              <w:t>yjaśnia znaczenie zasad ogólnych postępowania administracyjnego</w:t>
            </w:r>
            <w:r w:rsidRPr="008466FE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K_W08,</w:t>
            </w:r>
          </w:p>
          <w:p w14:paraId="587E13C9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K_W09,</w:t>
            </w:r>
          </w:p>
        </w:tc>
      </w:tr>
      <w:tr w:rsidR="00CD36F8" w:rsidRPr="008466FE" w14:paraId="379E82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K_K05,</w:t>
            </w:r>
          </w:p>
        </w:tc>
      </w:tr>
      <w:tr w:rsidR="00CD36F8" w:rsidRPr="008466FE" w14:paraId="16403E57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</w:t>
            </w:r>
            <w:r w:rsidR="00CD36F8" w:rsidRPr="008466FE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K_U08</w:t>
            </w:r>
            <w:r w:rsidR="007053B6" w:rsidRPr="008466FE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K_K05,</w:t>
            </w:r>
          </w:p>
        </w:tc>
      </w:tr>
      <w:tr w:rsidR="00CD36F8" w:rsidRPr="008466FE" w14:paraId="5C2C222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K_U05</w:t>
            </w:r>
          </w:p>
        </w:tc>
      </w:tr>
      <w:tr w:rsidR="00CD36F8" w:rsidRPr="008466FE" w14:paraId="49F8476F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05F7B622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K_U15</w:t>
            </w:r>
          </w:p>
          <w:p w14:paraId="78D2CC65" w14:textId="77777777" w:rsidR="00CD36F8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8466FE" w14:paraId="235A02E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K_K01,</w:t>
            </w:r>
          </w:p>
        </w:tc>
      </w:tr>
      <w:tr w:rsidR="00CD36F8" w:rsidRPr="008466FE" w14:paraId="25468C5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K_K06</w:t>
            </w:r>
          </w:p>
        </w:tc>
      </w:tr>
      <w:tr w:rsidR="00CD36F8" w:rsidRPr="008466FE" w14:paraId="29C1C915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1F67D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9E4E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K_K04</w:t>
            </w:r>
          </w:p>
        </w:tc>
      </w:tr>
      <w:tr w:rsidR="00CD36F8" w:rsidRPr="008466FE" w14:paraId="5325435D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04FF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605D" w14:textId="77777777" w:rsidR="00CD36F8" w:rsidRPr="008466FE" w:rsidRDefault="00CD36F8" w:rsidP="00376AE4">
            <w:pPr>
              <w:spacing w:after="0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C54" w14:textId="340D771C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  <w:smallCaps/>
              </w:rPr>
              <w:t>K_U</w:t>
            </w:r>
            <w:r w:rsidR="00376AE4" w:rsidRPr="008466FE">
              <w:rPr>
                <w:rFonts w:ascii="Corbel" w:eastAsia="Cambria" w:hAnsi="Corbel"/>
                <w:smallCaps/>
              </w:rPr>
              <w:t>0</w:t>
            </w:r>
            <w:r w:rsidRPr="008466FE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8466FE" w14:paraId="160E5A9A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2040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0C72" w14:textId="77777777" w:rsidR="007053B6" w:rsidRPr="008466FE" w:rsidRDefault="007053B6" w:rsidP="00376AE4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90C" w14:textId="77777777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K_K07,</w:t>
            </w:r>
          </w:p>
          <w:p w14:paraId="4BE11C7A" w14:textId="0D4BD749" w:rsidR="007053B6" w:rsidRPr="008466FE" w:rsidRDefault="007053B6" w:rsidP="00376AE4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K_K10 </w:t>
            </w:r>
          </w:p>
        </w:tc>
      </w:tr>
    </w:tbl>
    <w:p w14:paraId="3FB67719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8466FE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8466FE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8466FE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9082"/>
      </w:tblGrid>
      <w:tr w:rsidR="00256A63" w:rsidRPr="008466FE" w14:paraId="45A5F5BD" w14:textId="77777777" w:rsidTr="00376AE4"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B4FED" w14:textId="77777777" w:rsidR="00256A63" w:rsidRPr="008466FE" w:rsidRDefault="00256A63" w:rsidP="004500C0">
            <w:pPr>
              <w:suppressAutoHyphens w:val="0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Treści merytoryczne</w:t>
            </w:r>
          </w:p>
        </w:tc>
      </w:tr>
      <w:tr w:rsidR="00256A63" w:rsidRPr="008466FE" w14:paraId="14F0E301" w14:textId="77777777" w:rsidTr="00376AE4">
        <w:trPr>
          <w:trHeight w:val="2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27C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 xml:space="preserve">Problematyka wykładu:                                                                                                          </w:t>
            </w:r>
          </w:p>
        </w:tc>
      </w:tr>
      <w:tr w:rsidR="00256A63" w:rsidRPr="008466FE" w14:paraId="7DA74FB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56A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przedmiotowy i zasady ogólne kodeksu postępowania administracyjnego</w:t>
            </w:r>
          </w:p>
        </w:tc>
      </w:tr>
      <w:tr w:rsidR="00256A63" w:rsidRPr="008466FE" w14:paraId="6D1137B0" w14:textId="77777777" w:rsidTr="00CF4DD3">
        <w:trPr>
          <w:trHeight w:val="33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9042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podmiotowy i podmioty postępowania administracyjnego</w:t>
            </w:r>
          </w:p>
        </w:tc>
      </w:tr>
      <w:tr w:rsidR="00256A63" w:rsidRPr="008466FE" w14:paraId="2FC27CCB" w14:textId="77777777" w:rsidTr="00376AE4">
        <w:trPr>
          <w:trHeight w:val="3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4DE1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 instancji</w:t>
            </w:r>
          </w:p>
        </w:tc>
      </w:tr>
      <w:tr w:rsidR="00256A63" w:rsidRPr="008466FE" w14:paraId="7BB28331" w14:textId="77777777" w:rsidTr="00CF4DD3">
        <w:trPr>
          <w:trHeight w:val="304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393C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Przepisy dyscyplinujące przebieg postępowania</w:t>
            </w:r>
          </w:p>
        </w:tc>
      </w:tr>
      <w:tr w:rsidR="00256A63" w:rsidRPr="008466FE" w14:paraId="1CCE31A2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B2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Akty kończące postępowanie administracyjne</w:t>
            </w:r>
          </w:p>
        </w:tc>
      </w:tr>
      <w:tr w:rsidR="00256A63" w:rsidRPr="008466FE" w14:paraId="5E64B447" w14:textId="77777777" w:rsidTr="00376AE4">
        <w:trPr>
          <w:trHeight w:val="316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2D93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Zwyczajne środki zaskarżenia</w:t>
            </w:r>
          </w:p>
        </w:tc>
      </w:tr>
      <w:tr w:rsidR="00256A63" w:rsidRPr="008466FE" w14:paraId="32FFA0B4" w14:textId="77777777" w:rsidTr="00376AE4">
        <w:trPr>
          <w:trHeight w:val="227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EDB2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II instancji</w:t>
            </w:r>
          </w:p>
        </w:tc>
      </w:tr>
      <w:tr w:rsidR="00256A63" w:rsidRPr="008466FE" w14:paraId="03F0A46A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4E77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Weryfikacja ostatecznych aktów administracyjnych</w:t>
            </w:r>
          </w:p>
        </w:tc>
      </w:tr>
      <w:tr w:rsidR="00256A63" w:rsidRPr="008466FE" w14:paraId="4EDFE3EB" w14:textId="77777777" w:rsidTr="00376AE4">
        <w:trPr>
          <w:trHeight w:val="27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245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Administracyjne postępowania uproszczone</w:t>
            </w:r>
          </w:p>
        </w:tc>
      </w:tr>
      <w:tr w:rsidR="00256A63" w:rsidRPr="008466FE" w14:paraId="33B36E51" w14:textId="77777777" w:rsidTr="00CF4DD3">
        <w:trPr>
          <w:trHeight w:val="40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89E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Zarys ustroju i struktura sądownictwa administracyjnego w Polsce</w:t>
            </w:r>
          </w:p>
        </w:tc>
      </w:tr>
      <w:tr w:rsidR="00256A63" w:rsidRPr="008466FE" w14:paraId="480D293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E0D6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Środki zaskarżenia orzeczeń i działań administracji publicznej</w:t>
            </w:r>
          </w:p>
        </w:tc>
      </w:tr>
      <w:tr w:rsidR="00256A63" w:rsidRPr="008466FE" w14:paraId="4DFD0A0C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0029" w14:textId="276F5F04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Sądami administracyjnymi I instancji</w:t>
            </w:r>
          </w:p>
        </w:tc>
      </w:tr>
      <w:tr w:rsidR="00256A63" w:rsidRPr="008466FE" w14:paraId="1F55CFFA" w14:textId="77777777" w:rsidTr="00376AE4">
        <w:trPr>
          <w:trHeight w:val="31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5070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Odmienności procedury administracyjnej i sądowo-administracyjnej</w:t>
            </w:r>
          </w:p>
        </w:tc>
      </w:tr>
      <w:tr w:rsidR="00256A63" w:rsidRPr="008466FE" w14:paraId="54BCF2E6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63E4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Skarga Kasacyjna i postępowanie przed NSA</w:t>
            </w:r>
          </w:p>
        </w:tc>
      </w:tr>
    </w:tbl>
    <w:p w14:paraId="597EC7CE" w14:textId="769CEDBF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3.4 Metody dydaktyczne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8466FE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7122CCE3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900726F" w:rsidR="00CD36F8" w:rsidRPr="008466FE" w:rsidRDefault="00CF4DD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br w:type="column"/>
      </w:r>
      <w:r w:rsidR="00CD36F8" w:rsidRPr="008466FE">
        <w:rPr>
          <w:rFonts w:ascii="Corbel" w:hAnsi="Corbel" w:cs="Corbel"/>
          <w:smallCaps w:val="0"/>
          <w:szCs w:val="24"/>
        </w:rPr>
        <w:lastRenderedPageBreak/>
        <w:t xml:space="preserve">4. METODY I KRYTERIA OCENY </w:t>
      </w:r>
    </w:p>
    <w:p w14:paraId="2E6DB5B2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8466FE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8466FE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8466FE" w14:paraId="552F71FB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Symbol efektu</w:t>
            </w:r>
          </w:p>
          <w:p w14:paraId="4E5CE1C4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32A32F7F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8466FE">
              <w:rPr>
                <w:rFonts w:ascii="Corbel" w:hAnsi="Corbel"/>
                <w:color w:val="000000"/>
              </w:rPr>
              <w:t xml:space="preserve">Metody oceny efektów </w:t>
            </w:r>
            <w:r w:rsidR="00CF4DD3" w:rsidRPr="008466FE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A6E6" w14:textId="77777777" w:rsidR="00CF4DD3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Forma zajęć dydaktycznych </w:t>
            </w:r>
          </w:p>
          <w:p w14:paraId="05B6E9AE" w14:textId="7D001800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(w, </w:t>
            </w:r>
            <w:proofErr w:type="spellStart"/>
            <w:r w:rsidRPr="008466FE">
              <w:rPr>
                <w:rFonts w:ascii="Corbel" w:hAnsi="Corbel"/>
              </w:rPr>
              <w:t>ćw</w:t>
            </w:r>
            <w:proofErr w:type="spellEnd"/>
            <w:r w:rsidRPr="008466FE">
              <w:rPr>
                <w:rFonts w:ascii="Corbel" w:hAnsi="Corbel"/>
              </w:rPr>
              <w:t>, …)</w:t>
            </w:r>
          </w:p>
        </w:tc>
      </w:tr>
      <w:tr w:rsidR="00CD36F8" w:rsidRPr="008466FE" w14:paraId="3B25B46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2656521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4B20884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32464F3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0D0B1CF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B41492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7B74C7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8E5DEA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AFED71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749FFF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B703BF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18B329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4A1FEC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FC40576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111A198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0C17D08E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2E8804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</w:tbl>
    <w:p w14:paraId="332B4F3C" w14:textId="77777777" w:rsidR="00CD36F8" w:rsidRPr="008466FE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</w:tblGrid>
      <w:tr w:rsidR="00CD36F8" w:rsidRPr="008466FE" w14:paraId="60EDFCCF" w14:textId="77777777" w:rsidTr="008466F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038F13BE" w:rsidR="00CD36F8" w:rsidRPr="008466FE" w:rsidRDefault="00CF4DD3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br w:type="column"/>
      </w:r>
      <w:r w:rsidR="00CD36F8" w:rsidRPr="008466FE"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962F33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8466FE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8466FE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8466FE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8466F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7395DDCA" w:rsidR="00CD36F8" w:rsidRPr="008466FE" w:rsidRDefault="00CD36F8" w:rsidP="00256A63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256A63" w:rsidRPr="008466FE">
              <w:rPr>
                <w:rFonts w:ascii="Corbel" w:hAnsi="Corbel"/>
                <w:smallCaps/>
                <w:kern w:val="1"/>
              </w:rPr>
              <w:t>45 godzin</w:t>
            </w:r>
          </w:p>
        </w:tc>
      </w:tr>
      <w:tr w:rsidR="00CD36F8" w:rsidRPr="008466FE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75127295" w:rsidR="00CD36F8" w:rsidRPr="008466FE" w:rsidRDefault="00256A6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78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125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99DA65F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466FE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22F51633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8466FE" w14:paraId="162EC717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6E4AC15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shd w:val="clear" w:color="auto" w:fill="auto"/>
          </w:tcPr>
          <w:p w14:paraId="44E81307" w14:textId="6976FC8B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8466FE" w14:paraId="20477D7C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1B988524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shd w:val="clear" w:color="auto" w:fill="auto"/>
          </w:tcPr>
          <w:p w14:paraId="45386A01" w14:textId="004B2735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8466FE" w14:paraId="2C60BFE4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2018.</w:t>
            </w:r>
          </w:p>
        </w:tc>
      </w:tr>
      <w:tr w:rsidR="00CD36F8" w:rsidRPr="008466FE" w14:paraId="701AF4DD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Pr="008466FE" w:rsidRDefault="00CD36F8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39846E0D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M. Wierzbowski, M. </w:t>
            </w:r>
            <w:proofErr w:type="spellStart"/>
            <w:r w:rsidRPr="008466FE">
              <w:rPr>
                <w:rFonts w:ascii="Corbel" w:eastAsia="Cambria" w:hAnsi="Corbel"/>
                <w:i/>
                <w:kern w:val="1"/>
              </w:rPr>
              <w:t>Szubiakowski</w:t>
            </w:r>
            <w:proofErr w:type="spellEnd"/>
            <w:r w:rsidRPr="008466FE">
              <w:rPr>
                <w:rFonts w:ascii="Corbel" w:eastAsia="Cambria" w:hAnsi="Corbel"/>
                <w:i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8466FE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8466F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8466FE" w:rsidSect="00376AE4">
      <w:pgSz w:w="11906" w:h="16838"/>
      <w:pgMar w:top="567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A3A75" w14:textId="77777777" w:rsidR="007F6DBE" w:rsidRDefault="007F6DBE" w:rsidP="00376AE4">
      <w:pPr>
        <w:spacing w:after="0" w:line="240" w:lineRule="auto"/>
      </w:pPr>
      <w:r>
        <w:separator/>
      </w:r>
    </w:p>
  </w:endnote>
  <w:endnote w:type="continuationSeparator" w:id="0">
    <w:p w14:paraId="49EC0BAA" w14:textId="77777777" w:rsidR="007F6DBE" w:rsidRDefault="007F6DBE" w:rsidP="0037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326C" w14:textId="77777777" w:rsidR="007F6DBE" w:rsidRDefault="007F6DBE" w:rsidP="00376AE4">
      <w:pPr>
        <w:spacing w:after="0" w:line="240" w:lineRule="auto"/>
      </w:pPr>
      <w:r>
        <w:separator/>
      </w:r>
    </w:p>
  </w:footnote>
  <w:footnote w:type="continuationSeparator" w:id="0">
    <w:p w14:paraId="5128983A" w14:textId="77777777" w:rsidR="007F6DBE" w:rsidRDefault="007F6DBE" w:rsidP="00376AE4">
      <w:pPr>
        <w:spacing w:after="0" w:line="240" w:lineRule="auto"/>
      </w:pPr>
      <w:r>
        <w:continuationSeparator/>
      </w:r>
    </w:p>
  </w:footnote>
  <w:footnote w:id="1">
    <w:p w14:paraId="55BF39DF" w14:textId="77777777" w:rsidR="00376AE4" w:rsidRPr="008F2BC4" w:rsidRDefault="00376AE4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256A63"/>
    <w:rsid w:val="002A4751"/>
    <w:rsid w:val="002D57EA"/>
    <w:rsid w:val="00376AE4"/>
    <w:rsid w:val="00623230"/>
    <w:rsid w:val="006D20CE"/>
    <w:rsid w:val="007053B6"/>
    <w:rsid w:val="007066C7"/>
    <w:rsid w:val="007444C0"/>
    <w:rsid w:val="007F6DBE"/>
    <w:rsid w:val="008466FE"/>
    <w:rsid w:val="00A231D2"/>
    <w:rsid w:val="00CD36F8"/>
    <w:rsid w:val="00CF4DD3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376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2019-02-06T11:12:00Z</cp:lastPrinted>
  <dcterms:created xsi:type="dcterms:W3CDTF">2021-03-30T10:50:00Z</dcterms:created>
  <dcterms:modified xsi:type="dcterms:W3CDTF">2021-03-31T08:40:00Z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