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70602" w14:textId="1E6E438F" w:rsidR="00310AB9" w:rsidRDefault="00310AB9" w:rsidP="00310AB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787D034" w14:textId="27735600" w:rsidR="0085747A" w:rsidRPr="00E96E8E" w:rsidRDefault="0085747A" w:rsidP="006A4E27">
      <w:pPr>
        <w:spacing w:after="0"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44B1FE78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26E86">
        <w:rPr>
          <w:rFonts w:ascii="Corbel" w:hAnsi="Corbel"/>
          <w:i/>
          <w:smallCaps/>
          <w:sz w:val="24"/>
          <w:szCs w:val="24"/>
        </w:rPr>
        <w:t>2020-2023</w:t>
      </w:r>
    </w:p>
    <w:p w14:paraId="3E97E71F" w14:textId="77777777" w:rsidR="00310AB9" w:rsidRPr="00C50DF5" w:rsidRDefault="00310AB9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0DF5">
        <w:rPr>
          <w:rFonts w:ascii="Corbel" w:hAnsi="Corbel"/>
          <w:sz w:val="20"/>
          <w:szCs w:val="20"/>
        </w:rPr>
        <w:t>Rok akademicki   202</w:t>
      </w:r>
      <w:r>
        <w:rPr>
          <w:rFonts w:ascii="Corbel" w:hAnsi="Corbel"/>
          <w:sz w:val="20"/>
          <w:szCs w:val="20"/>
        </w:rPr>
        <w:t>1</w:t>
      </w:r>
      <w:r w:rsidRPr="00C50DF5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2</w:t>
      </w:r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57B39290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E/I/EiZSP/C.4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7D6D8DE4" w:rsidR="00626E86" w:rsidRPr="00FE3BF8" w:rsidRDefault="00A40502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3BF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28DD17B9" w:rsidR="00015B8F" w:rsidRPr="009C54AE" w:rsidRDefault="00A40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720B8F42" w:rsidR="00015B8F" w:rsidRPr="009C54AE" w:rsidRDefault="00A40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712FED0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77777777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9C54AE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E86">
              <w:rPr>
                <w:rFonts w:ascii="Corbel" w:hAnsi="Corbel"/>
                <w:b w:val="0"/>
                <w:szCs w:val="24"/>
              </w:rPr>
              <w:lastRenderedPageBreak/>
              <w:t>Pozytywne zaliczenie z Rachunkowości wskazujące na posiadanie podstawowej wiedzy księgowej (zasady, metody, standardy, przepisy prawa) oraz umiejętności interpretacji zjawisk ekonomicznych w ujęciu przyczynowo-skutkowym.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znajdujących zastosowanie w contollingu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3B839DCB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6BF73D94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7E70899D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777ADF98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Decyzje finansowe w JST</w:t>
            </w:r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Sprawozdawczość budżetowa i finansowa. I analiza w JST</w:t>
            </w:r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wskaźników oceny zarządzania budżetem JST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2CD98D88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6C210310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3B6D2E4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2E0BE5C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1EF20B5E" w:rsidR="007327C2" w:rsidRDefault="00A4050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23E790E2" w:rsidR="007327C2" w:rsidRDefault="00A4050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6A1D9EF3" w:rsidR="007327C2" w:rsidRDefault="00A4050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iziukiewicz,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ifin,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aczurak-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>Literatura uzupełniajaca: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>, ODDK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Naruć,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Ustawa o rachunkowości z dnia 29 września 1994 r ( Dz. U .nr 152 z 2009 r., z póż,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792B1" w14:textId="77777777" w:rsidR="002E58F4" w:rsidRDefault="002E58F4" w:rsidP="00C16ABF">
      <w:pPr>
        <w:spacing w:after="0" w:line="240" w:lineRule="auto"/>
      </w:pPr>
      <w:r>
        <w:separator/>
      </w:r>
    </w:p>
  </w:endnote>
  <w:endnote w:type="continuationSeparator" w:id="0">
    <w:p w14:paraId="36B3B079" w14:textId="77777777" w:rsidR="002E58F4" w:rsidRDefault="002E58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7F124" w14:textId="77777777" w:rsidR="002E58F4" w:rsidRDefault="002E58F4" w:rsidP="00C16ABF">
      <w:pPr>
        <w:spacing w:after="0" w:line="240" w:lineRule="auto"/>
      </w:pPr>
      <w:r>
        <w:separator/>
      </w:r>
    </w:p>
  </w:footnote>
  <w:footnote w:type="continuationSeparator" w:id="0">
    <w:p w14:paraId="5F7E6FEE" w14:textId="77777777" w:rsidR="002E58F4" w:rsidRDefault="002E58F4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8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58F4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598D"/>
    <w:rsid w:val="004840FD"/>
    <w:rsid w:val="0048725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3267F"/>
    <w:rsid w:val="005363C4"/>
    <w:rsid w:val="00536BDE"/>
    <w:rsid w:val="00543ACC"/>
    <w:rsid w:val="0056696D"/>
    <w:rsid w:val="0059484D"/>
    <w:rsid w:val="00594FEB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D50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0502"/>
    <w:rsid w:val="00A43BF6"/>
    <w:rsid w:val="00A53FA5"/>
    <w:rsid w:val="00A54817"/>
    <w:rsid w:val="00A601C8"/>
    <w:rsid w:val="00A60799"/>
    <w:rsid w:val="00A637F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25BE"/>
    <w:rsid w:val="00CF78ED"/>
    <w:rsid w:val="00D02B25"/>
    <w:rsid w:val="00D02EBA"/>
    <w:rsid w:val="00D17C3C"/>
    <w:rsid w:val="00D2508B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314A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BF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  <w:style w:type="character" w:styleId="Odwoaniedokomentarza">
    <w:name w:val="annotation reference"/>
    <w:basedOn w:val="Domylnaczcionkaakapitu"/>
    <w:uiPriority w:val="99"/>
    <w:semiHidden/>
    <w:unhideWhenUsed/>
    <w:rsid w:val="005326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6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6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6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6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733389-17A7-46EC-8602-DC9EBDC13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125E25-11AB-4CDA-A338-6EF98DCAC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9A769-F468-4DE5-9C4B-1DD6E18403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6</Pages>
  <Words>1130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24</cp:revision>
  <cp:lastPrinted>2019-02-06T12:12:00Z</cp:lastPrinted>
  <dcterms:created xsi:type="dcterms:W3CDTF">2020-11-08T22:26:00Z</dcterms:created>
  <dcterms:modified xsi:type="dcterms:W3CDTF">2021-02-12T15:54:00Z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