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6641A76D" w14:textId="77777777" w:rsidR="00E71768" w:rsidRPr="009D7C6A" w:rsidRDefault="00E71768" w:rsidP="00E717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FC0EC0B" w14:textId="77777777" w:rsidR="00E71768" w:rsidRPr="009D7C6A" w:rsidRDefault="00E71768" w:rsidP="00E7176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72C4DF8" w14:textId="3BB4BBA1" w:rsidR="00E71768" w:rsidRPr="009D7C6A" w:rsidRDefault="00E71768" w:rsidP="00E7176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BBA0749">
        <w:rPr>
          <w:rFonts w:ascii="Corbel" w:hAnsi="Corbel"/>
          <w:sz w:val="20"/>
          <w:szCs w:val="20"/>
        </w:rPr>
        <w:t>Rok akademicki   20</w:t>
      </w:r>
      <w:r w:rsidR="0B41312A" w:rsidRPr="5BBA0749">
        <w:rPr>
          <w:rFonts w:ascii="Corbel" w:hAnsi="Corbel"/>
          <w:sz w:val="20"/>
          <w:szCs w:val="20"/>
        </w:rPr>
        <w:t>19</w:t>
      </w:r>
      <w:r w:rsidRPr="5BBA0749">
        <w:rPr>
          <w:rFonts w:ascii="Corbel" w:hAnsi="Corbel"/>
          <w:sz w:val="20"/>
          <w:szCs w:val="20"/>
        </w:rPr>
        <w:t>/202</w:t>
      </w:r>
      <w:r w:rsidR="2BFAFED8" w:rsidRPr="5BBA0749">
        <w:rPr>
          <w:rFonts w:ascii="Corbel" w:hAnsi="Corbel"/>
          <w:sz w:val="20"/>
          <w:szCs w:val="20"/>
        </w:rPr>
        <w:t>0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E/II/GFiR/C.6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7FB7F37" w:rsidR="0085747A" w:rsidRPr="002A5389" w:rsidRDefault="00A54F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5530222E" w:rsidR="00015B8F" w:rsidRPr="002A5389" w:rsidRDefault="00A54F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ADF39F4" w:rsidR="00015B8F" w:rsidRPr="002A5389" w:rsidRDefault="00A54F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0E95D1BE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5BBA0749">
        <w:tc>
          <w:tcPr>
            <w:tcW w:w="9520" w:type="dxa"/>
          </w:tcPr>
          <w:p w14:paraId="22611F3C" w14:textId="30CFA362" w:rsidR="00AB110B" w:rsidRPr="002A5389" w:rsidRDefault="0085747A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4043D047" w14:textId="75864ED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5BBA074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5BBA074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BBD5AE4" w14:textId="11A75411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026A3F7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5BBA074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076A1C1F" w14:textId="29E34FDA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  <w:p w14:paraId="5B1B50FA" w14:textId="6943BE3A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lastRenderedPageBreak/>
              <w:t>Znaczenie i formuły partnerstwa publiczno-prywatnego w realizacji przedsięwzięć inwestycyjnych.</w:t>
            </w:r>
          </w:p>
          <w:p w14:paraId="2169BA42" w14:textId="2F509B2C" w:rsidR="00AB110B" w:rsidRPr="002A5389" w:rsidRDefault="00AB110B" w:rsidP="5BBA0749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BBA074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makrootoczenia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m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akrootoczenie,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>asady i sposoby budowania potencjału strategicznego, cykl życia produktu i technologii, kluczowe czynniki sukcesu, metody portfelowe, łańcuch wartości, bilans strategiczny przedsiębiorstwa, benchamrking,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(metody bezdyskontowe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analiza wektora cash-flow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study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5BBA0749">
        <w:tc>
          <w:tcPr>
            <w:tcW w:w="9670" w:type="dxa"/>
          </w:tcPr>
          <w:p w14:paraId="01CB8CF5" w14:textId="37F71BFC" w:rsidR="00763926" w:rsidRPr="002A5389" w:rsidRDefault="4EE1C018" w:rsidP="5BBA0749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BA074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AA9DF6F" w:rsidRPr="5BBA0749">
              <w:rPr>
                <w:rFonts w:ascii="Corbel" w:hAnsi="Corbel"/>
                <w:b w:val="0"/>
                <w:smallCaps w:val="0"/>
              </w:rPr>
              <w:t>minimum 51</w:t>
            </w:r>
            <w:r w:rsidRPr="5BBA0749">
              <w:rPr>
                <w:rFonts w:ascii="Corbel" w:hAnsi="Corbel"/>
                <w:b w:val="0"/>
                <w:smallCaps w:val="0"/>
              </w:rPr>
              <w:t>% możliwych punktów z egzaminu pisemnego</w:t>
            </w:r>
            <w:r w:rsidR="217BC578" w:rsidRPr="5BBA0749">
              <w:rPr>
                <w:rFonts w:ascii="Corbel" w:hAnsi="Corbel"/>
                <w:b w:val="0"/>
                <w:smallCaps w:val="0"/>
              </w:rPr>
              <w:t>.</w:t>
            </w:r>
          </w:p>
          <w:p w14:paraId="6F541DD2" w14:textId="022687E6" w:rsidR="0085747A" w:rsidRPr="002A5389" w:rsidRDefault="4EE1C018" w:rsidP="5BBA0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BA0749">
              <w:rPr>
                <w:rFonts w:ascii="Corbel" w:hAnsi="Corbel"/>
                <w:b w:val="0"/>
                <w:smallCaps w:val="0"/>
              </w:rPr>
              <w:t xml:space="preserve">Zaliczenie ćwiczeń </w:t>
            </w:r>
            <w:r w:rsidR="1D3B36CC" w:rsidRPr="5BBA0749">
              <w:rPr>
                <w:rFonts w:ascii="Corbel" w:hAnsi="Corbel"/>
                <w:b w:val="0"/>
                <w:smallCaps w:val="0"/>
              </w:rPr>
              <w:t>wiąże się z uzyskaniem minimum 51% możliwych do uzyskania punktów z kolokwium oraz przygotowanie prezentacji w grupach.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37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830DD58" w:rsidR="0085747A" w:rsidRPr="002A5389" w:rsidRDefault="00A54F43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2852005C" w:rsidR="00C61DC5" w:rsidRPr="002A5389" w:rsidRDefault="00A54F43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0098DA" w14:textId="2B1183F6" w:rsidR="00C61DC5" w:rsidRDefault="00A54F43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  <w:p w14:paraId="47CC442C" w14:textId="2FF4A86E" w:rsidR="00E71768" w:rsidRPr="00E71768" w:rsidRDefault="00E71768" w:rsidP="00E71768">
            <w:pPr>
              <w:tabs>
                <w:tab w:val="left" w:pos="2910"/>
              </w:tabs>
            </w:pPr>
            <w:r>
              <w:tab/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R. Pastusiak, Ocena efektywności inwestycji, CeDeWuA,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Cyran K., Wpływ działań integracyjnych na pozycję konkurencyjną przedsiębiorstw, Zeszyty Naukowe Ostrołęckiego Towarzystwa Naukowego im. Adama Chętnika,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0993A" w14:textId="77777777" w:rsidR="006D6974" w:rsidRDefault="006D6974" w:rsidP="00C16ABF">
      <w:pPr>
        <w:spacing w:after="0" w:line="240" w:lineRule="auto"/>
      </w:pPr>
      <w:r>
        <w:separator/>
      </w:r>
    </w:p>
  </w:endnote>
  <w:endnote w:type="continuationSeparator" w:id="0">
    <w:p w14:paraId="44DA0DCD" w14:textId="77777777" w:rsidR="006D6974" w:rsidRDefault="006D69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8F3EA" w14:textId="77777777" w:rsidR="006D6974" w:rsidRDefault="006D6974" w:rsidP="00C16ABF">
      <w:pPr>
        <w:spacing w:after="0" w:line="240" w:lineRule="auto"/>
      </w:pPr>
      <w:r>
        <w:separator/>
      </w:r>
    </w:p>
  </w:footnote>
  <w:footnote w:type="continuationSeparator" w:id="0">
    <w:p w14:paraId="4C419166" w14:textId="77777777" w:rsidR="006D6974" w:rsidRDefault="006D6974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9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71958"/>
    <w:rsid w:val="00675843"/>
    <w:rsid w:val="0067737B"/>
    <w:rsid w:val="00696477"/>
    <w:rsid w:val="006D050F"/>
    <w:rsid w:val="006D6139"/>
    <w:rsid w:val="006D6974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54F43"/>
    <w:rsid w:val="00A601C8"/>
    <w:rsid w:val="00A60799"/>
    <w:rsid w:val="00A84C85"/>
    <w:rsid w:val="00A97DE1"/>
    <w:rsid w:val="00AA23ED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32A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1768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0B41312A"/>
    <w:rsid w:val="10C49D41"/>
    <w:rsid w:val="1242BFEF"/>
    <w:rsid w:val="1D3B36CC"/>
    <w:rsid w:val="217193A2"/>
    <w:rsid w:val="217BC578"/>
    <w:rsid w:val="26B1F0D5"/>
    <w:rsid w:val="2BFAFED8"/>
    <w:rsid w:val="328B7613"/>
    <w:rsid w:val="33050678"/>
    <w:rsid w:val="36D00225"/>
    <w:rsid w:val="3AA55BFF"/>
    <w:rsid w:val="43955CD0"/>
    <w:rsid w:val="450D7324"/>
    <w:rsid w:val="4EE1C018"/>
    <w:rsid w:val="5303732C"/>
    <w:rsid w:val="5BBA0749"/>
    <w:rsid w:val="5C3B69FB"/>
    <w:rsid w:val="6AA9DF6F"/>
    <w:rsid w:val="772F0356"/>
    <w:rsid w:val="7805E2E2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1041</Words>
  <Characters>6248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2020-12-15T20:32:00Z</dcterms:created>
  <dcterms:modified xsi:type="dcterms:W3CDTF">2020-12-15T20:32:00Z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