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1F5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8533C1" w14:textId="77777777" w:rsidR="00F36117" w:rsidRPr="009D7C6A" w:rsidRDefault="00F36117" w:rsidP="00F361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D1F62FB" w14:textId="77777777" w:rsidR="00F36117" w:rsidRPr="009D7C6A" w:rsidRDefault="00F36117" w:rsidP="00F3611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825185E" w14:textId="77777777" w:rsidR="00F36117" w:rsidRPr="009D7C6A" w:rsidRDefault="00F36117" w:rsidP="00F361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A3421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53298" w14:textId="204EFDE5" w:rsidR="0085747A" w:rsidRDefault="0085747A" w:rsidP="00742F10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352F35E" w14:textId="77777777" w:rsidR="00742F10" w:rsidRPr="009C54AE" w:rsidRDefault="00742F10" w:rsidP="00742F10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2D7058" w14:textId="77777777" w:rsidTr="005E4F35">
        <w:tc>
          <w:tcPr>
            <w:tcW w:w="2694" w:type="dxa"/>
            <w:vAlign w:val="center"/>
          </w:tcPr>
          <w:p w14:paraId="2B72DA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2F35BC" w14:textId="77777777" w:rsidR="0085747A" w:rsidRPr="009C54AE" w:rsidRDefault="00282E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 centralna</w:t>
            </w:r>
          </w:p>
        </w:tc>
      </w:tr>
      <w:tr w:rsidR="005E4F35" w:rsidRPr="009C54AE" w14:paraId="56B6B0B2" w14:textId="77777777" w:rsidTr="005E4F35">
        <w:tc>
          <w:tcPr>
            <w:tcW w:w="2694" w:type="dxa"/>
            <w:vAlign w:val="center"/>
          </w:tcPr>
          <w:p w14:paraId="103BD45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4D9E17" w14:textId="77777777" w:rsidR="005E4F35" w:rsidRPr="006E42D8" w:rsidRDefault="00282E3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40DF">
              <w:rPr>
                <w:rFonts w:ascii="Corbel" w:hAnsi="Corbel"/>
                <w:b w:val="0"/>
                <w:sz w:val="24"/>
                <w:szCs w:val="24"/>
              </w:rPr>
              <w:t>E/II/EP/C-1.4d</w:t>
            </w:r>
          </w:p>
        </w:tc>
      </w:tr>
      <w:tr w:rsidR="005E4F35" w:rsidRPr="009C54AE" w14:paraId="38358286" w14:textId="77777777" w:rsidTr="005E4F35">
        <w:tc>
          <w:tcPr>
            <w:tcW w:w="2694" w:type="dxa"/>
            <w:vAlign w:val="center"/>
          </w:tcPr>
          <w:p w14:paraId="39A57C6C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A31A52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2F10" w:rsidRPr="009C54AE" w14:paraId="62CE0C30" w14:textId="77777777" w:rsidTr="005E4F35">
        <w:tc>
          <w:tcPr>
            <w:tcW w:w="2694" w:type="dxa"/>
            <w:vAlign w:val="center"/>
          </w:tcPr>
          <w:p w14:paraId="77DD1423" w14:textId="77777777" w:rsidR="00742F10" w:rsidRPr="009C54AE" w:rsidRDefault="00742F10" w:rsidP="00742F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5A6B29" w14:textId="09F895C9" w:rsidR="00742F10" w:rsidRPr="009C54AE" w:rsidRDefault="00742F10" w:rsidP="00742F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167A17E1" w14:textId="77777777" w:rsidTr="005E4F35">
        <w:tc>
          <w:tcPr>
            <w:tcW w:w="2694" w:type="dxa"/>
            <w:vAlign w:val="center"/>
          </w:tcPr>
          <w:p w14:paraId="15B676D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FAC591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76A1246" w14:textId="77777777" w:rsidTr="005E4F35">
        <w:tc>
          <w:tcPr>
            <w:tcW w:w="2694" w:type="dxa"/>
            <w:vAlign w:val="center"/>
          </w:tcPr>
          <w:p w14:paraId="64F2E229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DB2D6A" w14:textId="4005D301" w:rsidR="005E4F35" w:rsidRPr="009C54AE" w:rsidRDefault="00282E3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42F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491235E5" w14:textId="77777777" w:rsidTr="005E4F35">
        <w:tc>
          <w:tcPr>
            <w:tcW w:w="2694" w:type="dxa"/>
            <w:vAlign w:val="center"/>
          </w:tcPr>
          <w:p w14:paraId="3B4BEE4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020F4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5A127EF9" w14:textId="77777777" w:rsidTr="005E4F35">
        <w:tc>
          <w:tcPr>
            <w:tcW w:w="2694" w:type="dxa"/>
            <w:vAlign w:val="center"/>
          </w:tcPr>
          <w:p w14:paraId="5AAA771E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A8AD7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45068690" w14:textId="77777777" w:rsidTr="005E4F35">
        <w:tc>
          <w:tcPr>
            <w:tcW w:w="2694" w:type="dxa"/>
            <w:vAlign w:val="center"/>
          </w:tcPr>
          <w:p w14:paraId="129DF5C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EA3BD7" w14:textId="6BFFEA23" w:rsidR="005E4F35" w:rsidRPr="009C54AE" w:rsidRDefault="00282E3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B18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5ADC4F88" w14:textId="77777777" w:rsidTr="005E4F35">
        <w:tc>
          <w:tcPr>
            <w:tcW w:w="2694" w:type="dxa"/>
            <w:vAlign w:val="center"/>
          </w:tcPr>
          <w:p w14:paraId="26652BE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517AA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17088B77" w14:textId="77777777" w:rsidTr="005E4F35">
        <w:tc>
          <w:tcPr>
            <w:tcW w:w="2694" w:type="dxa"/>
            <w:vAlign w:val="center"/>
          </w:tcPr>
          <w:p w14:paraId="50E40AF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84A70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225E27E" w14:textId="77777777" w:rsidTr="005E4F35">
        <w:tc>
          <w:tcPr>
            <w:tcW w:w="2694" w:type="dxa"/>
            <w:vAlign w:val="center"/>
          </w:tcPr>
          <w:p w14:paraId="3DDB187E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475F76" w14:textId="77777777" w:rsidR="005E4F35" w:rsidRPr="009C54AE" w:rsidRDefault="00282E3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5E4F35" w:rsidRPr="009C54AE" w14:paraId="064B8E9E" w14:textId="77777777" w:rsidTr="005E4F35">
        <w:tc>
          <w:tcPr>
            <w:tcW w:w="2694" w:type="dxa"/>
            <w:vAlign w:val="center"/>
          </w:tcPr>
          <w:p w14:paraId="626EF78E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BDF1F" w14:textId="77777777" w:rsidR="005E4F35" w:rsidRPr="009C54AE" w:rsidRDefault="00282E3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</w:tbl>
    <w:p w14:paraId="1BAAFB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8167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7E7A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637CC7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24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F3369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A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6F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AE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6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B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53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35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8B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A5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EE4AF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C4F2" w14:textId="0CA8CB8A" w:rsidR="00015B8F" w:rsidRPr="009C54AE" w:rsidRDefault="00EB18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4B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F4DF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F6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2C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F5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67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98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9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457A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B166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AC2DA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33D135" w14:textId="2F66BC64" w:rsidR="00742F10" w:rsidRPr="0078268B" w:rsidRDefault="00742F10" w:rsidP="00742F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4EDB70C" w14:textId="77777777" w:rsidR="00742F10" w:rsidRPr="009C54AE" w:rsidRDefault="00742F10" w:rsidP="00742F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10C502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FE4C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D28669" w14:textId="2DC310C2" w:rsidR="009C54AE" w:rsidRDefault="00F36117" w:rsidP="00742F10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42F10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57B5A5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85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3BCBF2" w14:textId="77777777" w:rsidTr="00745302">
        <w:tc>
          <w:tcPr>
            <w:tcW w:w="9670" w:type="dxa"/>
          </w:tcPr>
          <w:p w14:paraId="57C93D26" w14:textId="77777777" w:rsidR="0085747A" w:rsidRPr="009C54AE" w:rsidRDefault="00282E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Zaawansowana wiedza z rynków finansowych, prognozowania, ekonometrii, makroekonomii.</w:t>
            </w:r>
          </w:p>
        </w:tc>
      </w:tr>
    </w:tbl>
    <w:p w14:paraId="370BE7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8D7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2D19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46D02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ACA5D0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2E3E" w:rsidRPr="009C54AE" w14:paraId="7B8C9FE8" w14:textId="77777777" w:rsidTr="00282E3E">
        <w:tc>
          <w:tcPr>
            <w:tcW w:w="845" w:type="dxa"/>
            <w:vAlign w:val="center"/>
          </w:tcPr>
          <w:p w14:paraId="3E61EC23" w14:textId="77777777" w:rsidR="00282E3E" w:rsidRPr="000739AD" w:rsidRDefault="00282E3E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4DACDC4F" w14:textId="77777777" w:rsidR="00282E3E" w:rsidRPr="00957B50" w:rsidRDefault="00282E3E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Poznanie podstaw funkcjonowania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NBP i głównych obszarów jego funkcjonowania. </w:t>
            </w:r>
          </w:p>
        </w:tc>
      </w:tr>
      <w:tr w:rsidR="00282E3E" w:rsidRPr="009C54AE" w14:paraId="2C63134B" w14:textId="77777777" w:rsidTr="00282E3E">
        <w:tc>
          <w:tcPr>
            <w:tcW w:w="845" w:type="dxa"/>
            <w:vAlign w:val="center"/>
          </w:tcPr>
          <w:p w14:paraId="5CDF85FC" w14:textId="77777777" w:rsidR="00282E3E" w:rsidRPr="000739AD" w:rsidRDefault="00282E3E" w:rsidP="00282E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623F462" w14:textId="77777777" w:rsidR="00282E3E" w:rsidRPr="00957B50" w:rsidRDefault="00282E3E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wiedzy nt. nadzoru makroostrożnościowego, systemu płatniczego i roli banków centralnych w rozwoju i stabilności systemu finansowego </w:t>
            </w:r>
          </w:p>
        </w:tc>
      </w:tr>
      <w:tr w:rsidR="00282E3E" w:rsidRPr="009C54AE" w14:paraId="70B7100A" w14:textId="77777777" w:rsidTr="00282E3E">
        <w:tc>
          <w:tcPr>
            <w:tcW w:w="845" w:type="dxa"/>
            <w:vAlign w:val="center"/>
          </w:tcPr>
          <w:p w14:paraId="6FE7E6DB" w14:textId="77777777" w:rsidR="00282E3E" w:rsidRPr="000739AD" w:rsidRDefault="00282E3E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2E904BC2" w14:textId="77777777" w:rsidR="00282E3E" w:rsidRPr="00E32E65" w:rsidRDefault="00282E3E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wykorzystywania raportów, analiz i opracowań NBP do formułowania własnych poglądów i wniosków nt. bankowości centralnej. </w:t>
            </w:r>
          </w:p>
        </w:tc>
      </w:tr>
    </w:tbl>
    <w:p w14:paraId="39EF432C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AF0CC6C" w14:textId="4B14F184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82389B" w14:textId="07C2827B" w:rsidR="00CD4BF1" w:rsidRDefault="00CD4BF1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CD4BF1" w:rsidRPr="009C54AE" w14:paraId="4944B5AC" w14:textId="77777777" w:rsidTr="00CD4BF1">
        <w:trPr>
          <w:jc w:val="center"/>
        </w:trPr>
        <w:tc>
          <w:tcPr>
            <w:tcW w:w="1681" w:type="dxa"/>
            <w:vAlign w:val="center"/>
          </w:tcPr>
          <w:p w14:paraId="43A7A800" w14:textId="77777777" w:rsidR="00CD4BF1" w:rsidRPr="009C54AE" w:rsidRDefault="00CD4BF1" w:rsidP="005778B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11E4CEA9" w14:textId="77777777" w:rsidR="00CD4BF1" w:rsidRPr="009C54AE" w:rsidRDefault="00CD4BF1" w:rsidP="005778B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9C54AE">
              <w:rPr>
                <w:rFonts w:ascii="Corbel" w:hAnsi="Corbel" w:cs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D8E7E3" w14:textId="77777777" w:rsidR="00CD4BF1" w:rsidRPr="009C54AE" w:rsidRDefault="00CD4BF1" w:rsidP="005778B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 w:rsidRPr="009C54AE">
              <w:rPr>
                <w:rFonts w:ascii="Corbel" w:hAnsi="Corbel" w:cs="Corbel"/>
                <w:b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CD4BF1" w:rsidRPr="009C54AE" w14:paraId="0268F4DD" w14:textId="77777777" w:rsidTr="00CD4BF1">
        <w:trPr>
          <w:jc w:val="center"/>
        </w:trPr>
        <w:tc>
          <w:tcPr>
            <w:tcW w:w="1681" w:type="dxa"/>
          </w:tcPr>
          <w:p w14:paraId="6BFA68E4" w14:textId="77777777" w:rsidR="00CD4BF1" w:rsidRPr="009C54AE" w:rsidRDefault="00CD4BF1" w:rsidP="005778B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9C54AE">
              <w:rPr>
                <w:rFonts w:ascii="Corbel" w:hAnsi="Corbel" w:cs="Corbel"/>
                <w:b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smallCaps w:val="0"/>
              </w:rPr>
              <w:t>01</w:t>
            </w:r>
          </w:p>
        </w:tc>
        <w:tc>
          <w:tcPr>
            <w:tcW w:w="5974" w:type="dxa"/>
          </w:tcPr>
          <w:p w14:paraId="0096D1C4" w14:textId="77777777" w:rsidR="00CD4BF1" w:rsidRPr="007E39C7" w:rsidRDefault="00CD4BF1" w:rsidP="005778B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957B50">
              <w:rPr>
                <w:rFonts w:ascii="Corbel" w:hAnsi="Corbel" w:cs="Corbel"/>
                <w:b w:val="0"/>
                <w:smallCaps w:val="0"/>
              </w:rPr>
              <w:t xml:space="preserve">Zna i rozumie istotę </w:t>
            </w:r>
            <w:r>
              <w:rPr>
                <w:rFonts w:ascii="Corbel" w:hAnsi="Corbel" w:cs="Corbel"/>
                <w:b w:val="0"/>
                <w:smallCaps w:val="0"/>
              </w:rPr>
              <w:t xml:space="preserve">i rolę NBP, jego głównych obszarów działalności. Rozumie rolę banków centralnych w kształtowaniu polityki pieniężnej. </w:t>
            </w:r>
          </w:p>
        </w:tc>
        <w:tc>
          <w:tcPr>
            <w:tcW w:w="1865" w:type="dxa"/>
          </w:tcPr>
          <w:p w14:paraId="34FA0513" w14:textId="77777777" w:rsidR="00CD4BF1" w:rsidRPr="00282E3E" w:rsidRDefault="00CD4BF1" w:rsidP="005778B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K_W01</w:t>
            </w:r>
          </w:p>
          <w:p w14:paraId="76A17E92" w14:textId="77777777" w:rsidR="00CD4BF1" w:rsidRPr="00282E3E" w:rsidRDefault="00CD4BF1" w:rsidP="005778B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K_W02</w:t>
            </w:r>
          </w:p>
          <w:p w14:paraId="2C81961F" w14:textId="77777777" w:rsidR="00CD4BF1" w:rsidRPr="00282E3E" w:rsidRDefault="00CD4BF1" w:rsidP="005778B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K_W08</w:t>
            </w:r>
          </w:p>
        </w:tc>
      </w:tr>
      <w:tr w:rsidR="00CD4BF1" w:rsidRPr="009C54AE" w14:paraId="7DD47D0A" w14:textId="77777777" w:rsidTr="00CD4BF1">
        <w:trPr>
          <w:jc w:val="center"/>
        </w:trPr>
        <w:tc>
          <w:tcPr>
            <w:tcW w:w="1681" w:type="dxa"/>
          </w:tcPr>
          <w:p w14:paraId="0F866E59" w14:textId="77777777" w:rsidR="00CD4BF1" w:rsidRPr="009C54AE" w:rsidRDefault="00CD4BF1" w:rsidP="005778B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9C54AE">
              <w:rPr>
                <w:rFonts w:ascii="Corbel" w:hAnsi="Corbel" w:cs="Corbel"/>
                <w:b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smallCaps w:val="0"/>
              </w:rPr>
              <w:t>02</w:t>
            </w:r>
          </w:p>
        </w:tc>
        <w:tc>
          <w:tcPr>
            <w:tcW w:w="5974" w:type="dxa"/>
          </w:tcPr>
          <w:p w14:paraId="3343F852" w14:textId="77777777" w:rsidR="00CD4BF1" w:rsidRPr="007E39C7" w:rsidRDefault="00CD4BF1" w:rsidP="005778B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957B50">
              <w:rPr>
                <w:rFonts w:ascii="Corbel" w:hAnsi="Corbel" w:cs="Corbel"/>
                <w:b w:val="0"/>
                <w:smallCaps w:val="0"/>
              </w:rPr>
              <w:t xml:space="preserve">Potrafi wyznaczyć </w:t>
            </w:r>
            <w:r>
              <w:rPr>
                <w:rFonts w:ascii="Corbel" w:hAnsi="Corbel" w:cs="Corbel"/>
                <w:b w:val="0"/>
                <w:smallCaps w:val="0"/>
              </w:rPr>
              <w:t>i opisywać najistotniejsze zadania NBP w działaniach na rzecz nadzoru makroostrożnościowego, systemu płatniczego oraz stabilności systemu finansowego.</w:t>
            </w:r>
          </w:p>
        </w:tc>
        <w:tc>
          <w:tcPr>
            <w:tcW w:w="1865" w:type="dxa"/>
          </w:tcPr>
          <w:p w14:paraId="519A1DCE" w14:textId="77777777" w:rsidR="00CD4BF1" w:rsidRPr="00282E3E" w:rsidRDefault="00CD4BF1" w:rsidP="005778B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K_U01</w:t>
            </w:r>
          </w:p>
          <w:p w14:paraId="207654A2" w14:textId="77777777" w:rsidR="00CD4BF1" w:rsidRPr="00282E3E" w:rsidRDefault="00CD4BF1" w:rsidP="005778B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K_U02</w:t>
            </w:r>
          </w:p>
          <w:p w14:paraId="76999ACC" w14:textId="77777777" w:rsidR="00CD4BF1" w:rsidRPr="00282E3E" w:rsidRDefault="00CD4BF1" w:rsidP="005778B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CD4BF1" w:rsidRPr="009C54AE" w14:paraId="4C73D815" w14:textId="77777777" w:rsidTr="00CD4BF1">
        <w:trPr>
          <w:jc w:val="center"/>
        </w:trPr>
        <w:tc>
          <w:tcPr>
            <w:tcW w:w="1681" w:type="dxa"/>
          </w:tcPr>
          <w:p w14:paraId="5BCDEF6D" w14:textId="77777777" w:rsidR="00CD4BF1" w:rsidRPr="009C54AE" w:rsidRDefault="00CD4BF1" w:rsidP="005778B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EK-03</w:t>
            </w:r>
          </w:p>
        </w:tc>
        <w:tc>
          <w:tcPr>
            <w:tcW w:w="5974" w:type="dxa"/>
          </w:tcPr>
          <w:p w14:paraId="0667201D" w14:textId="77777777" w:rsidR="00CD4BF1" w:rsidRPr="007E39C7" w:rsidRDefault="00CD4BF1" w:rsidP="005778B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957B50">
              <w:rPr>
                <w:rFonts w:ascii="Corbel" w:hAnsi="Corbel" w:cs="Corbel"/>
                <w:b w:val="0"/>
                <w:smallCaps w:val="0"/>
              </w:rPr>
              <w:t xml:space="preserve">Rozumie specyfikę </w:t>
            </w:r>
            <w:r>
              <w:rPr>
                <w:rFonts w:ascii="Corbel" w:hAnsi="Corbel" w:cs="Corbel"/>
                <w:b w:val="0"/>
                <w:smallCaps w:val="0"/>
              </w:rPr>
              <w:t xml:space="preserve">bankowości centralnej. </w:t>
            </w:r>
            <w:r w:rsidRPr="00957B50">
              <w:rPr>
                <w:rFonts w:ascii="Corbel" w:hAnsi="Corbel" w:cs="Corbel"/>
                <w:b w:val="0"/>
                <w:smallCaps w:val="0"/>
              </w:rPr>
              <w:t xml:space="preserve">Jest gotów do uznawania </w:t>
            </w:r>
            <w:r>
              <w:rPr>
                <w:rFonts w:ascii="Corbel" w:hAnsi="Corbel" w:cs="Corbel"/>
                <w:b w:val="0"/>
                <w:smallCaps w:val="0"/>
              </w:rPr>
              <w:t xml:space="preserve">kluczowego </w:t>
            </w:r>
            <w:r w:rsidRPr="00957B50">
              <w:rPr>
                <w:rFonts w:ascii="Corbel" w:hAnsi="Corbel" w:cs="Corbel"/>
                <w:b w:val="0"/>
                <w:smallCaps w:val="0"/>
              </w:rPr>
              <w:t xml:space="preserve">znaczenia </w:t>
            </w:r>
            <w:r>
              <w:rPr>
                <w:rFonts w:ascii="Corbel" w:hAnsi="Corbel" w:cs="Corbel"/>
                <w:b w:val="0"/>
                <w:smallCaps w:val="0"/>
              </w:rPr>
              <w:t>banków centralnych na funkcjonowania całego systemu finansowego.</w:t>
            </w:r>
          </w:p>
        </w:tc>
        <w:tc>
          <w:tcPr>
            <w:tcW w:w="1865" w:type="dxa"/>
          </w:tcPr>
          <w:p w14:paraId="3D47A126" w14:textId="77777777" w:rsidR="00CD4BF1" w:rsidRPr="00282E3E" w:rsidRDefault="00CD4BF1" w:rsidP="005778B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smallCaps w:val="0"/>
              </w:rPr>
              <w:t>K_U07</w:t>
            </w:r>
          </w:p>
          <w:p w14:paraId="7FFDF383" w14:textId="77777777" w:rsidR="00CD4BF1" w:rsidRPr="00282E3E" w:rsidRDefault="00CD4BF1" w:rsidP="005778B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</w:rPr>
            </w:pPr>
          </w:p>
        </w:tc>
      </w:tr>
    </w:tbl>
    <w:p w14:paraId="4C145903" w14:textId="77777777" w:rsidR="00CD4BF1" w:rsidRPr="009C54AE" w:rsidRDefault="00CD4BF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DF121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8F683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7A728D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D75A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C0BD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1B670C" w14:textId="77777777" w:rsidTr="005E4F35">
        <w:tc>
          <w:tcPr>
            <w:tcW w:w="9520" w:type="dxa"/>
          </w:tcPr>
          <w:p w14:paraId="0F3F5E9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E3E" w:rsidRPr="009C54AE" w14:paraId="7760A850" w14:textId="77777777" w:rsidTr="005E4F35">
        <w:tc>
          <w:tcPr>
            <w:tcW w:w="9520" w:type="dxa"/>
          </w:tcPr>
          <w:p w14:paraId="6F4CFBB1" w14:textId="77777777" w:rsidR="00282E3E" w:rsidRPr="00957B50" w:rsidRDefault="00282E3E" w:rsidP="00282E3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NBP – zasady funkcjonowania i obszary działalności </w:t>
            </w:r>
          </w:p>
        </w:tc>
      </w:tr>
      <w:tr w:rsidR="00282E3E" w:rsidRPr="009C54AE" w14:paraId="169C5F5A" w14:textId="77777777" w:rsidTr="005E4F35">
        <w:tc>
          <w:tcPr>
            <w:tcW w:w="9520" w:type="dxa"/>
          </w:tcPr>
          <w:p w14:paraId="5225FE5F" w14:textId="77777777" w:rsidR="00282E3E" w:rsidRPr="00957B50" w:rsidRDefault="00282E3E" w:rsidP="00282E3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Założenia polityki pieniężnej (analiza instrumentów tradycyjnych i nietradycyjnych).  </w:t>
            </w:r>
          </w:p>
        </w:tc>
      </w:tr>
      <w:tr w:rsidR="00282E3E" w:rsidRPr="009C54AE" w14:paraId="6AEE0D2A" w14:textId="77777777" w:rsidTr="005E4F35">
        <w:tc>
          <w:tcPr>
            <w:tcW w:w="9520" w:type="dxa"/>
          </w:tcPr>
          <w:p w14:paraId="0802B533" w14:textId="77777777" w:rsidR="00282E3E" w:rsidRPr="00957B50" w:rsidRDefault="00282E3E" w:rsidP="00282E3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makroostrożnościowy</w:t>
            </w:r>
          </w:p>
        </w:tc>
      </w:tr>
      <w:tr w:rsidR="00282E3E" w:rsidRPr="009C54AE" w14:paraId="308590EF" w14:textId="77777777" w:rsidTr="005E4F35">
        <w:tc>
          <w:tcPr>
            <w:tcW w:w="9520" w:type="dxa"/>
          </w:tcPr>
          <w:p w14:paraId="497BE178" w14:textId="77777777" w:rsidR="00282E3E" w:rsidRPr="00957B50" w:rsidRDefault="00282E3E" w:rsidP="00282E3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za stabilność systemu finansowego.</w:t>
            </w:r>
          </w:p>
        </w:tc>
      </w:tr>
      <w:tr w:rsidR="00282E3E" w:rsidRPr="009C54AE" w14:paraId="5A213336" w14:textId="77777777" w:rsidTr="00B15B96">
        <w:tc>
          <w:tcPr>
            <w:tcW w:w="9520" w:type="dxa"/>
          </w:tcPr>
          <w:p w14:paraId="0F160096" w14:textId="77777777" w:rsidR="00282E3E" w:rsidRPr="00957B50" w:rsidRDefault="00282E3E" w:rsidP="00282E3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płatniczy </w:t>
            </w:r>
          </w:p>
        </w:tc>
      </w:tr>
    </w:tbl>
    <w:p w14:paraId="46B68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AB0F0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F02CFA3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9E481FF" w14:textId="77777777" w:rsidR="00E960BB" w:rsidRDefault="00576C07" w:rsidP="00282E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282E3E">
        <w:rPr>
          <w:rFonts w:ascii="Corbel" w:hAnsi="Corbel"/>
          <w:b w:val="0"/>
          <w:smallCaps w:val="0"/>
          <w:szCs w:val="24"/>
        </w:rPr>
        <w:t>prezentacje grupowe, praca grupowa, dyskusja moderowana.</w:t>
      </w:r>
    </w:p>
    <w:p w14:paraId="2E5BEF20" w14:textId="77777777" w:rsidR="00282E3E" w:rsidRDefault="00282E3E" w:rsidP="00282E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F17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682D4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D137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FFC7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C2603" w14:textId="77777777" w:rsidTr="00576C07">
        <w:tc>
          <w:tcPr>
            <w:tcW w:w="1962" w:type="dxa"/>
            <w:vAlign w:val="center"/>
          </w:tcPr>
          <w:p w14:paraId="669226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EADC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1C2AB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9FCDB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4A34B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282E3E" w:rsidRPr="009C54AE" w14:paraId="1825173A" w14:textId="77777777" w:rsidTr="00576C07">
        <w:tc>
          <w:tcPr>
            <w:tcW w:w="1962" w:type="dxa"/>
          </w:tcPr>
          <w:p w14:paraId="7C6B1109" w14:textId="61E7D7E6" w:rsidR="00282E3E" w:rsidRPr="009C54AE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="00A36EDD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2797F34" w14:textId="77777777" w:rsidR="00282E3E" w:rsidRPr="00957B50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 obserwacja w trakcie zajęć, </w:t>
            </w:r>
          </w:p>
        </w:tc>
        <w:tc>
          <w:tcPr>
            <w:tcW w:w="2117" w:type="dxa"/>
          </w:tcPr>
          <w:p w14:paraId="7A11CE52" w14:textId="77777777" w:rsidR="00282E3E" w:rsidRPr="00957B50" w:rsidRDefault="00282E3E" w:rsidP="00742F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82E3E" w:rsidRPr="009C54AE" w14:paraId="1458D14D" w14:textId="77777777" w:rsidTr="00576C07">
        <w:tc>
          <w:tcPr>
            <w:tcW w:w="1962" w:type="dxa"/>
          </w:tcPr>
          <w:p w14:paraId="61F8D439" w14:textId="35468CD3" w:rsidR="00282E3E" w:rsidRPr="009C54AE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36EDD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21F28BD7" w14:textId="77777777" w:rsidR="00282E3E" w:rsidRPr="00957B50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0EB779E" w14:textId="77777777" w:rsidR="00282E3E" w:rsidRPr="00957B50" w:rsidRDefault="00282E3E" w:rsidP="00742F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82E3E" w:rsidRPr="009C54AE" w14:paraId="455A86AB" w14:textId="77777777" w:rsidTr="00576C07">
        <w:tc>
          <w:tcPr>
            <w:tcW w:w="1962" w:type="dxa"/>
          </w:tcPr>
          <w:p w14:paraId="2E6235D7" w14:textId="68A9DDF8" w:rsidR="00282E3E" w:rsidRPr="009C54AE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36E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A36E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B83BCC" w14:textId="77777777" w:rsidR="00282E3E" w:rsidRPr="00957B50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EDAA78D" w14:textId="77777777" w:rsidR="00282E3E" w:rsidRPr="00957B50" w:rsidRDefault="00282E3E" w:rsidP="00742F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CED1B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B6F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BF7B4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18233" w14:textId="77777777" w:rsidTr="00923D7D">
        <w:tc>
          <w:tcPr>
            <w:tcW w:w="9670" w:type="dxa"/>
          </w:tcPr>
          <w:p w14:paraId="28E5D23A" w14:textId="77777777" w:rsidR="00282E3E" w:rsidRPr="00957B50" w:rsidRDefault="00282E3E" w:rsidP="00282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3BECFE4" w14:textId="77777777" w:rsidR="00282E3E" w:rsidRPr="00742F10" w:rsidRDefault="00282E3E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/>
                <w:sz w:val="24"/>
                <w:szCs w:val="24"/>
              </w:rPr>
            </w:pPr>
            <w:r w:rsidRPr="00742F10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A3A28FC" w14:textId="77777777" w:rsidR="00282E3E" w:rsidRPr="00742F10" w:rsidRDefault="00282E3E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/>
                <w:sz w:val="24"/>
                <w:szCs w:val="24"/>
              </w:rPr>
            </w:pPr>
            <w:r w:rsidRPr="00742F10">
              <w:rPr>
                <w:rFonts w:ascii="Corbel" w:hAnsi="Corbel"/>
                <w:sz w:val="24"/>
                <w:szCs w:val="24"/>
              </w:rPr>
              <w:t>1 praca zespołowa (prezentacja grupowa),</w:t>
            </w:r>
          </w:p>
          <w:p w14:paraId="5A4F6E90" w14:textId="01E65A81" w:rsidR="0085747A" w:rsidRPr="002C4190" w:rsidRDefault="00282E3E" w:rsidP="00282E3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/>
                <w:sz w:val="24"/>
                <w:szCs w:val="24"/>
              </w:rPr>
            </w:pPr>
            <w:r w:rsidRPr="00742F10">
              <w:rPr>
                <w:rFonts w:ascii="Corbel" w:hAnsi="Corbel"/>
                <w:sz w:val="24"/>
                <w:szCs w:val="24"/>
              </w:rPr>
              <w:t>Ocena  aktywności i przygotowania do zajęć na podstawie zadanej literatury</w:t>
            </w:r>
          </w:p>
        </w:tc>
      </w:tr>
    </w:tbl>
    <w:p w14:paraId="35FCA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1D8A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B14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E97DFE" w14:textId="77777777" w:rsidTr="006F1E63">
        <w:tc>
          <w:tcPr>
            <w:tcW w:w="4902" w:type="dxa"/>
            <w:vAlign w:val="center"/>
          </w:tcPr>
          <w:p w14:paraId="38641E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3F31E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2F188224" w14:textId="77777777" w:rsidTr="006F1E63">
        <w:tc>
          <w:tcPr>
            <w:tcW w:w="4902" w:type="dxa"/>
          </w:tcPr>
          <w:p w14:paraId="28934BEC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5D45DA0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7806A73F" w14:textId="77777777" w:rsidTr="006F1E63">
        <w:tc>
          <w:tcPr>
            <w:tcW w:w="4902" w:type="dxa"/>
          </w:tcPr>
          <w:p w14:paraId="5A456FB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DB10F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3261BD5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39EB8824" w14:textId="77777777" w:rsidTr="006F1E63">
        <w:tc>
          <w:tcPr>
            <w:tcW w:w="4902" w:type="dxa"/>
          </w:tcPr>
          <w:p w14:paraId="06115513" w14:textId="1D09A1CB" w:rsidR="006F1E63" w:rsidRPr="009C54AE" w:rsidRDefault="006F1E63" w:rsidP="002900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900D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F97432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47C53078" w14:textId="77777777" w:rsidTr="006F1E63">
        <w:tc>
          <w:tcPr>
            <w:tcW w:w="4902" w:type="dxa"/>
          </w:tcPr>
          <w:p w14:paraId="1BD2AF1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C93A8F1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C6614C" w14:textId="77777777" w:rsidTr="006F1E63">
        <w:tc>
          <w:tcPr>
            <w:tcW w:w="4902" w:type="dxa"/>
          </w:tcPr>
          <w:p w14:paraId="72E13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D8948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8F762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B586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204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E727C2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B147C0B" w14:textId="77777777" w:rsidTr="00742F10">
        <w:trPr>
          <w:trHeight w:val="397"/>
          <w:jc w:val="center"/>
        </w:trPr>
        <w:tc>
          <w:tcPr>
            <w:tcW w:w="3544" w:type="dxa"/>
          </w:tcPr>
          <w:p w14:paraId="191201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CE3001" w14:textId="0398E236" w:rsidR="0085747A" w:rsidRPr="009C54AE" w:rsidRDefault="00742F10" w:rsidP="00742F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9318CBA" w14:textId="77777777" w:rsidTr="00742F10">
        <w:trPr>
          <w:trHeight w:val="397"/>
          <w:jc w:val="center"/>
        </w:trPr>
        <w:tc>
          <w:tcPr>
            <w:tcW w:w="3544" w:type="dxa"/>
          </w:tcPr>
          <w:p w14:paraId="7BE778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F8646C" w14:textId="1B2AF116" w:rsidR="0085747A" w:rsidRPr="009C54AE" w:rsidRDefault="00742F10" w:rsidP="00742F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F0A1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C9A2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F618F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14FBF" w14:paraId="1713E9CB" w14:textId="77777777" w:rsidTr="00742F10">
        <w:trPr>
          <w:trHeight w:val="397"/>
          <w:jc w:val="center"/>
        </w:trPr>
        <w:tc>
          <w:tcPr>
            <w:tcW w:w="7513" w:type="dxa"/>
          </w:tcPr>
          <w:p w14:paraId="2CD74F18" w14:textId="77777777" w:rsidR="0085747A" w:rsidRPr="00314F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022375" w14:textId="77777777" w:rsidR="00282E3E" w:rsidRPr="00314FBF" w:rsidRDefault="00282E3E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>NBP, Bankowość centralna od A do Z, NBP, Warszawa, 2008</w:t>
            </w:r>
          </w:p>
          <w:p w14:paraId="7C17343D" w14:textId="77777777" w:rsidR="00282E3E" w:rsidRPr="00314FBF" w:rsidRDefault="00282E3E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>Jaworski, W.L, Szelągowska, A. (red), Współczesna bankowość centralna, Cedewu, Warszawa, 2012</w:t>
            </w:r>
          </w:p>
          <w:p w14:paraId="213C0837" w14:textId="57D4C00C" w:rsidR="006F1E63" w:rsidRPr="00314FBF" w:rsidRDefault="00282E3E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>Materiały, raporty, analizy i opracowania NBP</w:t>
            </w:r>
          </w:p>
        </w:tc>
      </w:tr>
      <w:tr w:rsidR="0085747A" w:rsidRPr="00314FBF" w14:paraId="163346A0" w14:textId="77777777" w:rsidTr="00742F10">
        <w:trPr>
          <w:trHeight w:val="397"/>
          <w:jc w:val="center"/>
        </w:trPr>
        <w:tc>
          <w:tcPr>
            <w:tcW w:w="7513" w:type="dxa"/>
          </w:tcPr>
          <w:p w14:paraId="71FCD2FB" w14:textId="77777777" w:rsidR="0085747A" w:rsidRPr="00314F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36D6E8" w14:textId="77777777" w:rsidR="00282E3E" w:rsidRPr="00314FBF" w:rsidRDefault="00282E3E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>Wojtyna, A. Szkice o polityce pieniężnej, PWE, Warszawa, 2004</w:t>
            </w:r>
          </w:p>
          <w:p w14:paraId="51DF2F2A" w14:textId="77777777" w:rsidR="00282E3E" w:rsidRPr="00314FBF" w:rsidRDefault="00282E3E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 xml:space="preserve">Sławiński, A. (red.) Polityka pieniężna, Beck, 2011. </w:t>
            </w:r>
          </w:p>
          <w:p w14:paraId="7A213087" w14:textId="77777777" w:rsidR="00282E3E" w:rsidRPr="00314FBF" w:rsidRDefault="00282E3E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t>Przybylska-Kapuścińska W., Sapała M. (red.), Rynek finansowy i zarządzanie w skali mikro- i makroekonomicznej, Wydawnictwo Uniwersytetu Ekonomicznego w Poznaniu,  Poznań 2011.</w:t>
            </w:r>
          </w:p>
          <w:p w14:paraId="664F95D0" w14:textId="77777777" w:rsidR="00242616" w:rsidRPr="00314FBF" w:rsidRDefault="00282E3E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14F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Gmińska R. (red.), Rynki finansowe, inwestycje, polityka gospodarcza, CeDeWu, Warszawa 2016.</w:t>
            </w:r>
          </w:p>
        </w:tc>
      </w:tr>
    </w:tbl>
    <w:p w14:paraId="48291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69B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412A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5E6F0" w14:textId="77777777" w:rsidR="00225D9E" w:rsidRDefault="00225D9E" w:rsidP="00C16ABF">
      <w:pPr>
        <w:spacing w:after="0" w:line="240" w:lineRule="auto"/>
      </w:pPr>
      <w:r>
        <w:separator/>
      </w:r>
    </w:p>
  </w:endnote>
  <w:endnote w:type="continuationSeparator" w:id="0">
    <w:p w14:paraId="0750960A" w14:textId="77777777" w:rsidR="00225D9E" w:rsidRDefault="00225D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E7799" w14:textId="77777777" w:rsidR="00225D9E" w:rsidRDefault="00225D9E" w:rsidP="00C16ABF">
      <w:pPr>
        <w:spacing w:after="0" w:line="240" w:lineRule="auto"/>
      </w:pPr>
      <w:r>
        <w:separator/>
      </w:r>
    </w:p>
  </w:footnote>
  <w:footnote w:type="continuationSeparator" w:id="0">
    <w:p w14:paraId="6F5B0FDB" w14:textId="77777777" w:rsidR="00225D9E" w:rsidRDefault="00225D9E" w:rsidP="00C16ABF">
      <w:pPr>
        <w:spacing w:after="0" w:line="240" w:lineRule="auto"/>
      </w:pPr>
      <w:r>
        <w:continuationSeparator/>
      </w:r>
    </w:p>
  </w:footnote>
  <w:footnote w:id="1">
    <w:p w14:paraId="13358243" w14:textId="77777777" w:rsidR="00CD4BF1" w:rsidRDefault="00CD4BF1" w:rsidP="00CD4B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E69CA"/>
    <w:multiLevelType w:val="hybridMultilevel"/>
    <w:tmpl w:val="0854E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838F9"/>
    <w:multiLevelType w:val="hybridMultilevel"/>
    <w:tmpl w:val="E3503582"/>
    <w:lvl w:ilvl="0" w:tplc="E9A4FED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EF653F"/>
    <w:multiLevelType w:val="hybridMultilevel"/>
    <w:tmpl w:val="B85C3F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EE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5D9E"/>
    <w:rsid w:val="002278A9"/>
    <w:rsid w:val="002336F9"/>
    <w:rsid w:val="0024028F"/>
    <w:rsid w:val="00242616"/>
    <w:rsid w:val="00244ABC"/>
    <w:rsid w:val="00281FF2"/>
    <w:rsid w:val="00282E3E"/>
    <w:rsid w:val="002857DE"/>
    <w:rsid w:val="002900DF"/>
    <w:rsid w:val="00291567"/>
    <w:rsid w:val="002A22BF"/>
    <w:rsid w:val="002A2389"/>
    <w:rsid w:val="002A671D"/>
    <w:rsid w:val="002B4D55"/>
    <w:rsid w:val="002B5EA0"/>
    <w:rsid w:val="002B6119"/>
    <w:rsid w:val="002C1F06"/>
    <w:rsid w:val="002C4190"/>
    <w:rsid w:val="002D3375"/>
    <w:rsid w:val="002D73D4"/>
    <w:rsid w:val="002F02A3"/>
    <w:rsid w:val="002F4ABE"/>
    <w:rsid w:val="003018BA"/>
    <w:rsid w:val="0030395F"/>
    <w:rsid w:val="00305C92"/>
    <w:rsid w:val="00314FBF"/>
    <w:rsid w:val="003151C5"/>
    <w:rsid w:val="003343CF"/>
    <w:rsid w:val="00346FE9"/>
    <w:rsid w:val="0034759A"/>
    <w:rsid w:val="003503F6"/>
    <w:rsid w:val="003530DD"/>
    <w:rsid w:val="00363F78"/>
    <w:rsid w:val="00372306"/>
    <w:rsid w:val="003A0A5B"/>
    <w:rsid w:val="003A1176"/>
    <w:rsid w:val="003C0BAE"/>
    <w:rsid w:val="003D05C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3298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B0DBC"/>
    <w:rsid w:val="005C080F"/>
    <w:rsid w:val="005C2750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F1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21B0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6EDD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4BF1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483"/>
    <w:rsid w:val="00E960BB"/>
    <w:rsid w:val="00EA2074"/>
    <w:rsid w:val="00EA4832"/>
    <w:rsid w:val="00EA4E9D"/>
    <w:rsid w:val="00EB184A"/>
    <w:rsid w:val="00EB3F7B"/>
    <w:rsid w:val="00EC4899"/>
    <w:rsid w:val="00ED03AB"/>
    <w:rsid w:val="00ED32D2"/>
    <w:rsid w:val="00EE32DE"/>
    <w:rsid w:val="00EE5457"/>
    <w:rsid w:val="00F070AB"/>
    <w:rsid w:val="00F17567"/>
    <w:rsid w:val="00F27A7B"/>
    <w:rsid w:val="00F3611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772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E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ED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19235-428D-427D-8170-62B2017B8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9AF24E-694F-4B26-8658-6ABB8D0AE6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1D708A-ADBA-4B7B-879A-A3274D56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0D2F4F-3031-4CB3-8CB9-F0B0633A2D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10</cp:revision>
  <cp:lastPrinted>2019-02-06T12:12:00Z</cp:lastPrinted>
  <dcterms:created xsi:type="dcterms:W3CDTF">2020-11-24T15:19:00Z</dcterms:created>
  <dcterms:modified xsi:type="dcterms:W3CDTF">2021-02-09T08:33:00Z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