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F50406" w:rsidRDefault="00FC1E71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5040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F547200" w14:textId="77777777" w:rsidR="00D43431" w:rsidRPr="009D7C6A" w:rsidRDefault="00D43431" w:rsidP="00D4343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5A6518E" w14:textId="77777777" w:rsidR="00D43431" w:rsidRPr="009D7C6A" w:rsidRDefault="00D43431" w:rsidP="00D4343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893691C" w14:textId="77777777" w:rsidR="00D43431" w:rsidRPr="009D7C6A" w:rsidRDefault="00D43431" w:rsidP="00D434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935A39C" w:rsidR="0085747A" w:rsidRDefault="0085747A" w:rsidP="00CE0B1F">
      <w:pPr>
        <w:pStyle w:val="Punktygwne"/>
        <w:numPr>
          <w:ilvl w:val="0"/>
          <w:numId w:val="9"/>
        </w:numPr>
        <w:spacing w:before="0" w:after="0"/>
        <w:ind w:left="426" w:hanging="349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</w:p>
    <w:p w14:paraId="17EA0E5C" w14:textId="77777777" w:rsidR="00CE0B1F" w:rsidRPr="00F50406" w:rsidRDefault="00CE0B1F" w:rsidP="00CE0B1F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50406" w14:paraId="1114D24A" w14:textId="77777777" w:rsidTr="004D08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F50406" w:rsidRDefault="00523A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0DB726C1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>zajęcia w formie tradycyjnej</w:t>
      </w:r>
      <w:r w:rsidRPr="00F50406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206106E0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CE0B1F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7EB6B481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 z zakresu mikroekonomii, 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="00D434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7D025FF4">
            <w:pPr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7D025FF4">
            <w:pPr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1C8C3AC0" w:rsidR="002C5668" w:rsidRDefault="002C5668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4AB6980A" w14:textId="59F38BA0" w:rsidR="009D06F2" w:rsidRDefault="009D06F2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9D06F2" w14:paraId="7B53CCE4" w14:textId="77777777" w:rsidTr="009D06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57EA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9042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41483587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5822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9D06F2" w14:paraId="6AA52A71" w14:textId="77777777" w:rsidTr="009D06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3E0A" w14:textId="77777777" w:rsidR="009D06F2" w:rsidRDefault="009D06F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60A0DF2C" w14:textId="77777777" w:rsidR="009D06F2" w:rsidRDefault="009D06F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7726" w14:textId="77777777" w:rsidR="009D06F2" w:rsidRDefault="009D06F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B050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3771E027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26B11202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0CA865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9D06F2" w14:paraId="04A61CF1" w14:textId="77777777" w:rsidTr="009D06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A25B6" w14:textId="77777777" w:rsidR="009D06F2" w:rsidRDefault="009D06F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B033" w14:textId="77777777" w:rsidR="009D06F2" w:rsidRDefault="009D06F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82BF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4815BAA5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9D06F2" w14:paraId="140C3950" w14:textId="77777777" w:rsidTr="009D06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0A96" w14:textId="77777777" w:rsidR="009D06F2" w:rsidRDefault="009D06F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0FCE" w14:textId="77777777" w:rsidR="009D06F2" w:rsidRDefault="009D06F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40A8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9D06F2" w14:paraId="1ACA4825" w14:textId="77777777" w:rsidTr="009D06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6218" w14:textId="77777777" w:rsidR="009D06F2" w:rsidRDefault="009D06F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F6C0" w14:textId="77777777" w:rsidR="009D06F2" w:rsidRDefault="009D06F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2141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72859DF7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0B0A0764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9D06F2" w14:paraId="62CDC1DB" w14:textId="77777777" w:rsidTr="009D06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6B7C" w14:textId="77777777" w:rsidR="009D06F2" w:rsidRDefault="009D06F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6F28" w14:textId="77777777" w:rsidR="009D06F2" w:rsidRDefault="009D06F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15B7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09ACF290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4AE23310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9D06F2" w14:paraId="06E614AC" w14:textId="77777777" w:rsidTr="009D06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CE9F" w14:textId="77777777" w:rsidR="009D06F2" w:rsidRDefault="009D06F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D57FE" w14:textId="77777777" w:rsidR="009D06F2" w:rsidRDefault="009D06F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przedstawiać własną i zespołową opinię na temat podstawowych i aktualnych problemów współczesnej gospodarki światowej; pracować w grupie, przyjmując </w:t>
            </w: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87E3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K_U11</w:t>
            </w:r>
          </w:p>
          <w:p w14:paraId="3D6AD66C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46B0C799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9D06F2" w14:paraId="23462A2F" w14:textId="77777777" w:rsidTr="009D06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C707" w14:textId="77777777" w:rsidR="009D06F2" w:rsidRDefault="009D06F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72864" w14:textId="77777777" w:rsidR="009D06F2" w:rsidRDefault="009D06F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5DCB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3DEC09F1" w14:textId="77777777" w:rsidR="009D06F2" w:rsidRDefault="009D06F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6F406AB7" w14:textId="77777777" w:rsidR="009D06F2" w:rsidRPr="00F50406" w:rsidRDefault="009D06F2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p w14:paraId="0FB78278" w14:textId="77777777" w:rsidR="00E94AC2" w:rsidRPr="00F50406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7D025FF4">
            <w:pPr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powsztania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Koncepcje teoretyczne ekonomii  międzynarodowej – teorie przedklasyczne, klasyczne, neoklasyczne i współczesne wymiany. Merkantyliści i ich dziedzictwo. Fiziokratyzm.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Teoria kosztów realnych. Matematyczna szkoła „równowagi ogólnej”. Teoria kosztów alternatywnych. Teoria H-O-S i paradygmat O-L-I. Teoremat Stoplera i Samuelsona.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neoczynnikowe, neotechnologicne, popytowo-podazowe. Teoria liuki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prduktu Vernona.  Teoria skali produkcji. Teoria podobiestwa preferencji. Teoria zróżnicowania produktu. Teoria handlu wewnątrzgałeziowego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(MPP)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MPP.  Etapy ewolucji MPP. Czynniki zmiany typów MPP.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MPP.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Formy BIZ. Greenfield investment.  Brownfield investment. Poziome, pionowe i konglomeratowe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Dunninga. Teoria Koimy i Ozawy.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Terms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Zagraniczna polityka ekonomiczna (ZPE)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ZPE. Rodzaje ZPE.  Problemy koordynacji zagranicznych polityk ekonomicznych niezależnych państw. Cele ZPE.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ZPE.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(MPI).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PNB, PKB, DN. Rachunek dochodu narodowego (DN)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Przesłaniki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7D025FF4">
            <w:pPr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Globalne kryzysy finansowe (KF)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KF. Zwiastuny, przyczyny i ogólne następstwa KF.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52FF5DDC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08CE6F91" w14:textId="4CFB8914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F50406" w:rsidRDefault="0085747A" w:rsidP="009C54AE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 xml:space="preserve">5. </w:t>
      </w:r>
      <w:r w:rsidR="00C61DC5" w:rsidRPr="00F5040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50406" w14:paraId="63D9DE79" w14:textId="77777777"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009E6B7D">
        <w:tc>
          <w:tcPr>
            <w:tcW w:w="4962" w:type="dxa"/>
          </w:tcPr>
          <w:p w14:paraId="1943409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BB9E253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DA3216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F50406" w14:paraId="370080A6" w14:textId="77777777" w:rsidTr="009E6B7D"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009E6B7D"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essey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3DE523C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DE38F6" w14:textId="77777777" w:rsidR="004105D0" w:rsidRPr="00F50406" w:rsidRDefault="00E0187D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4105D0" w:rsidRPr="00F50406" w14:paraId="20B8E38B" w14:textId="77777777"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4105D0" w:rsidRPr="00F50406" w14:paraId="6B7A9073" w14:textId="77777777"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FC1E71">
        <w:trPr>
          <w:trHeight w:val="397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FC1E71">
        <w:trPr>
          <w:trHeight w:val="397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013ADD" w14:paraId="219ED107" w14:textId="77777777" w:rsidTr="7D025FF4">
        <w:tc>
          <w:tcPr>
            <w:tcW w:w="9630" w:type="dxa"/>
          </w:tcPr>
          <w:p w14:paraId="4FD2A9C3" w14:textId="439EA7D0" w:rsidR="7D025FF4" w:rsidRPr="00013ADD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013ADD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013ADD" w:rsidRDefault="7D025FF4" w:rsidP="00CE0B1F">
            <w:pPr>
              <w:pStyle w:val="Akapitzlist"/>
              <w:numPr>
                <w:ilvl w:val="0"/>
                <w:numId w:val="2"/>
              </w:numPr>
              <w:ind w:left="457"/>
              <w:rPr>
                <w:rFonts w:ascii="Corbel" w:eastAsia="Corbel" w:hAnsi="Corbel" w:cs="Corbel"/>
                <w:sz w:val="24"/>
                <w:szCs w:val="24"/>
              </w:rPr>
            </w:pPr>
            <w:r w:rsidRPr="00013ADD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1 / Paul R. Krugman, Maurice Obstfeld, Marc J. Melitz ; redakcja naukowa tłumaczenia Andrzej Cieślik, Łukasz Goczek ; przekład Andrzej Cieślik [i 6 pozostałych]. - Wyd. 4. - Warszawa: Wydawnictwo Naukowe PWN, 2018. (b-ka UR)</w:t>
            </w:r>
          </w:p>
          <w:p w14:paraId="306F7C24" w14:textId="57C390F2" w:rsidR="7D025FF4" w:rsidRPr="00013ADD" w:rsidRDefault="7D025FF4" w:rsidP="00CE0B1F">
            <w:pPr>
              <w:pStyle w:val="Akapitzlist"/>
              <w:numPr>
                <w:ilvl w:val="0"/>
                <w:numId w:val="2"/>
              </w:numPr>
              <w:ind w:left="457"/>
              <w:rPr>
                <w:rFonts w:ascii="Corbel" w:eastAsia="Corbel" w:hAnsi="Corbel" w:cs="Corbel"/>
                <w:sz w:val="24"/>
                <w:szCs w:val="24"/>
              </w:rPr>
            </w:pPr>
            <w:r w:rsidRPr="00013ADD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Ekonomia międzynarodowa : teoria i polityka. T. 2 / Paul R. Krugman, Maurice Obstfeld, Marc J. Melitz ; redakcja naukowa tłumaczenia Andrzej Cieślik, Łukasz Goczek ; przekład </w:t>
            </w:r>
            <w:r w:rsidRPr="00013ADD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Paweł Gierałtowski, Łukasz Goczek, Gabriela Grotkowska, Dagmara Mycielska. - Wyd. 4. - Warszawa : Wydawnictwo Naukowe PWN, 2018. (b-ka UR)</w:t>
            </w:r>
          </w:p>
          <w:p w14:paraId="56FD0EC0" w14:textId="65126406" w:rsidR="7D025FF4" w:rsidRPr="00013ADD" w:rsidRDefault="7D025FF4" w:rsidP="00CE0B1F">
            <w:pPr>
              <w:pStyle w:val="Akapitzlist"/>
              <w:numPr>
                <w:ilvl w:val="0"/>
                <w:numId w:val="2"/>
              </w:numPr>
              <w:ind w:left="457"/>
              <w:rPr>
                <w:rFonts w:ascii="Corbel" w:eastAsia="Corbel" w:hAnsi="Corbel" w:cs="Corbel"/>
                <w:sz w:val="24"/>
                <w:szCs w:val="24"/>
              </w:rPr>
            </w:pPr>
            <w:r w:rsidRPr="00013ADD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/ Adam Budnikowski. - Warszawa: Polskie Wydawnictwo Ekonomiczne, 2017. (b-ka UR)</w:t>
            </w:r>
          </w:p>
        </w:tc>
      </w:tr>
      <w:tr w:rsidR="7D025FF4" w:rsidRPr="00013ADD" w14:paraId="6DE905D8" w14:textId="77777777" w:rsidTr="7D025FF4">
        <w:tc>
          <w:tcPr>
            <w:tcW w:w="9630" w:type="dxa"/>
          </w:tcPr>
          <w:p w14:paraId="48EEA2BE" w14:textId="42750BC9" w:rsidR="7D025FF4" w:rsidRPr="00013ADD" w:rsidRDefault="7D025FF4" w:rsidP="7D025FF4">
            <w:pPr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013ADD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Literatura uzupełniająca: </w:t>
            </w:r>
          </w:p>
          <w:p w14:paraId="30E819A3" w14:textId="6D17DC8A" w:rsidR="7D025FF4" w:rsidRPr="00013ADD" w:rsidRDefault="7D025FF4" w:rsidP="00CE0B1F">
            <w:pPr>
              <w:pStyle w:val="Akapitzlist"/>
              <w:numPr>
                <w:ilvl w:val="0"/>
                <w:numId w:val="1"/>
              </w:numPr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3ADD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Cherevko H. (2017). Agriculture in Ukraine towards European integration. </w:t>
            </w:r>
            <w:r w:rsidRPr="00013ADD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r w:rsidRPr="00013ADD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013ADD" w:rsidRDefault="7D025FF4" w:rsidP="00CE0B1F">
            <w:pPr>
              <w:pStyle w:val="Akapitzlist"/>
              <w:numPr>
                <w:ilvl w:val="0"/>
                <w:numId w:val="1"/>
              </w:numPr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Cherevko, O. Bentsak (2017). 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 розвитку міжнародної прикордонної співпраці України з країнами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nedium enterprises of Ukraine with V-4 countries  -2nd Issue, Vysoka škola ekonómie a manažmentu verejnej správy v Bratislave, Bratislava, s. 339-344 </w:t>
            </w:r>
          </w:p>
          <w:p w14:paraId="5B1B9A8A" w14:textId="70F019EC" w:rsidR="7D025FF4" w:rsidRPr="00013ADD" w:rsidRDefault="7D025FF4" w:rsidP="00CE0B1F">
            <w:pPr>
              <w:pStyle w:val="Akapitzlist"/>
              <w:numPr>
                <w:ilvl w:val="0"/>
                <w:numId w:val="1"/>
              </w:numPr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H. (2017). International transfer of technologies as a factor of technical upgrade and modernization of agricultural enterprises</w:t>
            </w:r>
            <w:r w:rsidRPr="00013ADD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. Аграрна економіка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013ADD" w:rsidRDefault="7D025FF4" w:rsidP="00CE0B1F">
            <w:pPr>
              <w:pStyle w:val="Akapitzlist"/>
              <w:numPr>
                <w:ilvl w:val="0"/>
                <w:numId w:val="1"/>
              </w:numPr>
              <w:ind w:left="457"/>
              <w:jc w:val="both"/>
              <w:rPr>
                <w:rFonts w:ascii="Corbel" w:hAnsi="Corbel" w:cs="Calibri"/>
                <w:color w:val="000000" w:themeColor="text1"/>
              </w:rPr>
            </w:pPr>
            <w:r w:rsidRPr="00013ADD">
              <w:rPr>
                <w:rFonts w:ascii="Corbel" w:hAnsi="Corbel" w:cs="Calibri"/>
                <w:color w:val="000000" w:themeColor="text1"/>
              </w:rPr>
              <w:t>Cherevko G. (2016). Транскордонне співпраця України в умовах глобалізації</w:t>
            </w:r>
            <w:r w:rsidRPr="00013ADD">
              <w:rPr>
                <w:rFonts w:ascii="Corbel" w:hAnsi="Corbel" w:cs="Calibri"/>
                <w:i/>
                <w:iCs/>
                <w:color w:val="000000" w:themeColor="text1"/>
              </w:rPr>
              <w:t xml:space="preserve"> (</w:t>
            </w:r>
            <w:r w:rsidRPr="00013ADD">
              <w:rPr>
                <w:rFonts w:ascii="Corbel" w:hAnsi="Corbel" w:cs="Calibri"/>
                <w:color w:val="000000" w:themeColor="text1"/>
              </w:rPr>
              <w:t>Współpraca przygraniczna Ukrainy w warunkach globalizacji</w:t>
            </w:r>
            <w:r w:rsidRPr="00013ADD">
              <w:rPr>
                <w:rFonts w:ascii="Corbel" w:hAnsi="Corbel" w:cs="Calibri"/>
                <w:i/>
                <w:iCs/>
                <w:color w:val="000000" w:themeColor="text1"/>
              </w:rPr>
              <w:t>)</w:t>
            </w:r>
            <w:r w:rsidRPr="00013ADD">
              <w:rPr>
                <w:rFonts w:ascii="Corbel" w:hAnsi="Corbel" w:cs="Calibri"/>
                <w:color w:val="000000" w:themeColor="text1"/>
              </w:rPr>
              <w:t xml:space="preserve">. </w:t>
            </w:r>
            <w:r w:rsidRPr="00013ADD">
              <w:rPr>
                <w:rFonts w:ascii="Corbel" w:hAnsi="Corbel" w:cs="Calibri"/>
                <w:i/>
                <w:iCs/>
                <w:color w:val="000000" w:themeColor="text1"/>
              </w:rPr>
              <w:t>Регіональні проблеми розвитку територіальних систем: теорія, практика, перспективи</w:t>
            </w:r>
            <w:r w:rsidRPr="00013ADD">
              <w:rPr>
                <w:rFonts w:ascii="Corbel" w:hAnsi="Corbel" w:cs="Calibri"/>
                <w:color w:val="000000" w:themeColor="text1"/>
              </w:rPr>
              <w:t xml:space="preserve"> (</w:t>
            </w:r>
            <w:r w:rsidRPr="00013ADD">
              <w:rPr>
                <w:rFonts w:ascii="Corbel" w:hAnsi="Corbel" w:cs="Calibri"/>
                <w:i/>
                <w:iCs/>
                <w:color w:val="000000" w:themeColor="text1"/>
              </w:rPr>
              <w:t>Regionalne problemy rozwoju systemów terytorialnych: teoria, praktyka, perspektywy</w:t>
            </w:r>
            <w:r w:rsidRPr="00013ADD">
              <w:rPr>
                <w:rFonts w:ascii="Corbel" w:hAnsi="Corbel" w:cs="Calibri"/>
                <w:color w:val="000000" w:themeColor="text1"/>
              </w:rPr>
              <w:t>), Materiały z Konferencji Międzynarodowej, Cz.3., Użgorod, p. s.35-39.</w:t>
            </w:r>
          </w:p>
          <w:p w14:paraId="2F73A07E" w14:textId="40947009" w:rsidR="7D025FF4" w:rsidRPr="00013ADD" w:rsidRDefault="7D025FF4" w:rsidP="00CE0B1F">
            <w:pPr>
              <w:pStyle w:val="Akapitzlist"/>
              <w:numPr>
                <w:ilvl w:val="0"/>
                <w:numId w:val="1"/>
              </w:numPr>
              <w:ind w:left="457"/>
              <w:jc w:val="both"/>
              <w:rPr>
                <w:rFonts w:ascii="Corbel" w:hAnsi="Corbel" w:cs="Calibri"/>
                <w:color w:val="000000" w:themeColor="text1"/>
              </w:rPr>
            </w:pPr>
            <w:r w:rsidRPr="00013ADD">
              <w:rPr>
                <w:rFonts w:ascii="Corbel" w:hAnsi="Corbel" w:cs="Calibri"/>
                <w:color w:val="000000" w:themeColor="text1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013ADD">
              <w:rPr>
                <w:rFonts w:ascii="Corbel" w:hAnsi="Corbel" w:cs="Calibri"/>
                <w:i/>
                <w:iCs/>
                <w:color w:val="000000" w:themeColor="text1"/>
              </w:rPr>
              <w:t>Аграрна економіка</w:t>
            </w:r>
            <w:r w:rsidRPr="00013ADD">
              <w:rPr>
                <w:rFonts w:ascii="Corbel" w:hAnsi="Corbel" w:cs="Calibri"/>
                <w:color w:val="000000" w:themeColor="text1"/>
              </w:rPr>
              <w:t>, T.9, vol. 3-4, s. 3-8; DOI: 10.31734/agrarecon2016.03.003.</w:t>
            </w:r>
          </w:p>
          <w:p w14:paraId="435316AA" w14:textId="0DAE16D7" w:rsidR="7D025FF4" w:rsidRPr="00013ADD" w:rsidRDefault="7D025FF4" w:rsidP="00CE0B1F">
            <w:pPr>
              <w:pStyle w:val="Akapitzlist"/>
              <w:numPr>
                <w:ilvl w:val="0"/>
                <w:numId w:val="1"/>
              </w:numPr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G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 V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013ADD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013ADD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013ADD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013A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CB3BB" w14:textId="77777777" w:rsidR="00616DB6" w:rsidRDefault="00616DB6" w:rsidP="00C16ABF">
      <w:pPr>
        <w:spacing w:after="0" w:line="240" w:lineRule="auto"/>
      </w:pPr>
      <w:r>
        <w:separator/>
      </w:r>
    </w:p>
  </w:endnote>
  <w:endnote w:type="continuationSeparator" w:id="0">
    <w:p w14:paraId="3C3EAC40" w14:textId="77777777" w:rsidR="00616DB6" w:rsidRDefault="00616D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0CD44" w14:textId="77777777" w:rsidR="00616DB6" w:rsidRDefault="00616DB6" w:rsidP="00C16ABF">
      <w:pPr>
        <w:spacing w:after="0" w:line="240" w:lineRule="auto"/>
      </w:pPr>
      <w:r>
        <w:separator/>
      </w:r>
    </w:p>
  </w:footnote>
  <w:footnote w:type="continuationSeparator" w:id="0">
    <w:p w14:paraId="6CD533DB" w14:textId="77777777" w:rsidR="00616DB6" w:rsidRDefault="00616DB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69D14548"/>
    <w:multiLevelType w:val="hybridMultilevel"/>
    <w:tmpl w:val="167CD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3ADD"/>
    <w:rsid w:val="00015B8F"/>
    <w:rsid w:val="00022ECE"/>
    <w:rsid w:val="00031C57"/>
    <w:rsid w:val="00042373"/>
    <w:rsid w:val="00042A51"/>
    <w:rsid w:val="00042D2E"/>
    <w:rsid w:val="00044C82"/>
    <w:rsid w:val="000476E0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01BC"/>
    <w:rsid w:val="001A1451"/>
    <w:rsid w:val="001A70D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80B7D"/>
    <w:rsid w:val="003A0A5B"/>
    <w:rsid w:val="003A1176"/>
    <w:rsid w:val="003C0BAE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668E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858D0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6DB6"/>
    <w:rsid w:val="00617230"/>
    <w:rsid w:val="00621CE1"/>
    <w:rsid w:val="00647FA8"/>
    <w:rsid w:val="006525CB"/>
    <w:rsid w:val="0066150A"/>
    <w:rsid w:val="006620D9"/>
    <w:rsid w:val="006669DB"/>
    <w:rsid w:val="00671958"/>
    <w:rsid w:val="006743E1"/>
    <w:rsid w:val="00675843"/>
    <w:rsid w:val="00696477"/>
    <w:rsid w:val="006A1030"/>
    <w:rsid w:val="006A40FF"/>
    <w:rsid w:val="006D050F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1D6"/>
    <w:rsid w:val="00746EC8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3381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7262E"/>
    <w:rsid w:val="00977F4A"/>
    <w:rsid w:val="0098275F"/>
    <w:rsid w:val="00997F14"/>
    <w:rsid w:val="009A78D9"/>
    <w:rsid w:val="009B4C2C"/>
    <w:rsid w:val="009C3E31"/>
    <w:rsid w:val="009C54AE"/>
    <w:rsid w:val="009C788E"/>
    <w:rsid w:val="009D06F2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3079"/>
    <w:rsid w:val="00A54817"/>
    <w:rsid w:val="00A601C8"/>
    <w:rsid w:val="00A60799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5FCB"/>
    <w:rsid w:val="00AF0A75"/>
    <w:rsid w:val="00AF2C1E"/>
    <w:rsid w:val="00B000B8"/>
    <w:rsid w:val="00B02CE2"/>
    <w:rsid w:val="00B06142"/>
    <w:rsid w:val="00B13522"/>
    <w:rsid w:val="00B135B1"/>
    <w:rsid w:val="00B24277"/>
    <w:rsid w:val="00B3130B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0B1F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431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3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7A039D-D505-43CA-B3AE-C7B7399151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31FA1A-84FF-441D-A728-58AA4E70E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6</Pages>
  <Words>1791</Words>
  <Characters>10749</Characters>
  <Application>Microsoft Office Word</Application>
  <DocSecurity>0</DocSecurity>
  <Lines>89</Lines>
  <Paragraphs>25</Paragraphs>
  <ScaleCrop>false</ScaleCrop>
  <Company>Hewlett-Packard Company</Company>
  <LinksUpToDate>false</LinksUpToDate>
  <CharactersWithSpaces>12515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Kazimierz Cyran</cp:lastModifiedBy>
  <cp:revision>11</cp:revision>
  <cp:lastPrinted>2017-02-15T21:41:00Z</cp:lastPrinted>
  <dcterms:created xsi:type="dcterms:W3CDTF">2020-12-04T18:50:00Z</dcterms:created>
  <dcterms:modified xsi:type="dcterms:W3CDTF">2021-02-09T10:19:00Z</dcterms:modified>
</cp:coreProperties>
</file>