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A0" w:rsidRPr="00E960BB" w:rsidRDefault="00B866A0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:rsidR="00B866A0" w:rsidRPr="009C54AE" w:rsidRDefault="00B866A0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B866A0" w:rsidRDefault="00B866A0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>
        <w:rPr>
          <w:rFonts w:ascii="Corbel" w:hAnsi="Corbel" w:cs="Corbel"/>
          <w:i/>
          <w:iCs/>
          <w:smallCaps/>
          <w:color w:val="000000"/>
          <w:sz w:val="24"/>
          <w:szCs w:val="24"/>
        </w:rPr>
        <w:t>2020-2022</w:t>
      </w:r>
      <w:r w:rsidRPr="009056A2">
        <w:rPr>
          <w:rFonts w:ascii="Corbel" w:hAnsi="Corbel" w:cs="Corbel"/>
          <w:i/>
          <w:iCs/>
          <w:smallCaps/>
          <w:color w:val="000000"/>
          <w:sz w:val="24"/>
          <w:szCs w:val="24"/>
        </w:rPr>
        <w:t xml:space="preserve"> </w:t>
      </w:r>
    </w:p>
    <w:p w:rsidR="00B866A0" w:rsidRPr="00EA4832" w:rsidRDefault="00B866A0" w:rsidP="00742F1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2021/2022</w:t>
      </w:r>
    </w:p>
    <w:p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866A0" w:rsidRDefault="00B866A0" w:rsidP="00742F10">
      <w:pPr>
        <w:pStyle w:val="Punktygwne"/>
        <w:numPr>
          <w:ilvl w:val="0"/>
          <w:numId w:val="7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:rsidR="00B866A0" w:rsidRPr="009C54AE" w:rsidRDefault="00B866A0" w:rsidP="00742F10">
      <w:pPr>
        <w:pStyle w:val="Punktygwne"/>
        <w:spacing w:before="0" w:after="0"/>
        <w:ind w:left="720"/>
        <w:rPr>
          <w:rFonts w:ascii="Corbel" w:hAnsi="Corbel" w:cs="Corbel"/>
          <w:color w:val="0070C0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centralna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866A0" w:rsidRPr="006E42D8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E/II/EP/C-1.4d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742F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742F1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D1C2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Drugiego stopnia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866A0" w:rsidRPr="008F2F12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866A0" w:rsidRPr="008F2F12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:rsidR="00B866A0" w:rsidRPr="009C54AE" w:rsidRDefault="00B866A0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:rsidR="00B866A0" w:rsidRPr="009C54AE" w:rsidRDefault="00B866A0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B866A0" w:rsidRPr="009C54AE" w:rsidRDefault="00B866A0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866A0" w:rsidRPr="009C54AE">
        <w:tc>
          <w:tcPr>
            <w:tcW w:w="1049" w:type="dxa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Semestr</w:t>
            </w:r>
          </w:p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44579A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B866A0" w:rsidRPr="009C54AE">
        <w:trPr>
          <w:trHeight w:val="453"/>
        </w:trPr>
        <w:tc>
          <w:tcPr>
            <w:tcW w:w="1049" w:type="dxa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:rsidR="00B866A0" w:rsidRPr="009C54AE" w:rsidRDefault="00B866A0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:rsidR="00B866A0" w:rsidRPr="0078268B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bookmarkStart w:id="0" w:name="_Hlk57061323"/>
      <w:bookmarkStart w:id="1" w:name="_Hlk57004889"/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 w:cs="Corbel"/>
          <w:b w:val="0"/>
          <w:bCs w:val="0"/>
          <w:smallCaps w:val="0"/>
        </w:rPr>
        <w:t>zajęcia w formie tradycyjnej lub z wykorzystaniem platformy Ms Teams</w:t>
      </w:r>
    </w:p>
    <w:p w:rsidR="00B866A0" w:rsidRPr="009C54AE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  <w:bCs w:val="0"/>
        </w:rPr>
        <w:t>☐</w:t>
      </w:r>
      <w:r w:rsidRPr="0078268B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  <w:bookmarkEnd w:id="0"/>
    </w:p>
    <w:bookmarkEnd w:id="1"/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="00B866A0" w:rsidRDefault="00B866A0" w:rsidP="00742F10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866A0" w:rsidRPr="009C54AE">
        <w:tc>
          <w:tcPr>
            <w:tcW w:w="9670" w:type="dxa"/>
          </w:tcPr>
          <w:p w:rsidR="00B866A0" w:rsidRPr="009C54AE" w:rsidRDefault="00B866A0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Zaawansowana wiedza z rynków finansowych, prognozowania, ekonometrii, makroekonomii.</w:t>
            </w:r>
          </w:p>
        </w:tc>
      </w:tr>
    </w:tbl>
    <w:p w:rsidR="00B866A0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:rsidR="00B866A0" w:rsidRDefault="00B866A0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5"/>
        <w:gridCol w:w="8675"/>
      </w:tblGrid>
      <w:tr w:rsidR="00B866A0" w:rsidRPr="009C54AE">
        <w:tc>
          <w:tcPr>
            <w:tcW w:w="84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Poznanie podstaw funkcjonowania NBP i głównych obszarów jego funkcjonowania. </w:t>
            </w:r>
          </w:p>
        </w:tc>
      </w:tr>
      <w:tr w:rsidR="00B866A0" w:rsidRPr="009C54AE">
        <w:tc>
          <w:tcPr>
            <w:tcW w:w="845" w:type="dxa"/>
            <w:vAlign w:val="center"/>
          </w:tcPr>
          <w:p w:rsidR="00B866A0" w:rsidRPr="0044579A" w:rsidRDefault="00B866A0" w:rsidP="00282E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Opanowanie wiedzy nt. nadzoru makroostrożnościowego, systemu płatniczego i roli banków centralnych w rozwoju i stabilności systemu finansowego </w:t>
            </w:r>
          </w:p>
        </w:tc>
      </w:tr>
      <w:tr w:rsidR="00B866A0" w:rsidRPr="009C54AE">
        <w:tc>
          <w:tcPr>
            <w:tcW w:w="84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Nabycie umiejętności wykorzystywania raportów, analiz i opracowań NBP do formułowania własnych poglądów i wniosków nt. bankowości centralnej. </w:t>
            </w:r>
          </w:p>
        </w:tc>
      </w:tr>
    </w:tbl>
    <w:p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p w:rsidR="00B866A0" w:rsidRPr="009C54AE" w:rsidRDefault="00B866A0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1"/>
        <w:gridCol w:w="5974"/>
        <w:gridCol w:w="1865"/>
      </w:tblGrid>
      <w:tr w:rsidR="00B866A0" w:rsidRPr="009C54AE">
        <w:tc>
          <w:tcPr>
            <w:tcW w:w="1681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 w:cs="Corbel"/>
                <w:b w:val="0"/>
                <w:bCs w:val="0"/>
                <w:smallCaps w:val="0"/>
              </w:rPr>
              <w:footnoteReference w:id="2"/>
            </w:r>
          </w:p>
        </w:tc>
      </w:tr>
      <w:tr w:rsidR="00B866A0" w:rsidRPr="009C54AE">
        <w:tc>
          <w:tcPr>
            <w:tcW w:w="1681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974" w:type="dxa"/>
          </w:tcPr>
          <w:p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 i rozumie istotę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rolę NBP, jego głównych obszarów działalności. Rozumie rolę banków centralnych w kształtowaniu polityki pieniężnej. </w:t>
            </w:r>
          </w:p>
        </w:tc>
        <w:tc>
          <w:tcPr>
            <w:tcW w:w="1865" w:type="dxa"/>
          </w:tcPr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K_W01</w:t>
            </w:r>
          </w:p>
          <w:p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K_W02</w:t>
            </w:r>
          </w:p>
          <w:p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K_W08</w:t>
            </w:r>
          </w:p>
        </w:tc>
      </w:tr>
      <w:tr w:rsidR="00B866A0" w:rsidRPr="009C54AE">
        <w:tc>
          <w:tcPr>
            <w:tcW w:w="1681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974" w:type="dxa"/>
          </w:tcPr>
          <w:p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wyznaczyć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i opisywać najistotniejsze zadania NBP w działaniach na rzecz nadzoru makroostrożnościowego, systemu płatniczego oraz stabilności systemu finansowego.</w:t>
            </w:r>
          </w:p>
        </w:tc>
        <w:tc>
          <w:tcPr>
            <w:tcW w:w="1865" w:type="dxa"/>
          </w:tcPr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K_U01</w:t>
            </w:r>
          </w:p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K_U02</w:t>
            </w:r>
          </w:p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B866A0" w:rsidRPr="009C54AE">
        <w:tc>
          <w:tcPr>
            <w:tcW w:w="1681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EK-03</w:t>
            </w:r>
          </w:p>
        </w:tc>
        <w:tc>
          <w:tcPr>
            <w:tcW w:w="5974" w:type="dxa"/>
          </w:tcPr>
          <w:p w:rsidR="00B866A0" w:rsidRPr="007E39C7" w:rsidRDefault="00B866A0" w:rsidP="00F4033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Rozumie specyfikę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bankowości centralnej.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kluczowego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znaczenia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banków centralnych na funkcjonowania całego systemu finansowego.</w:t>
            </w:r>
          </w:p>
        </w:tc>
        <w:tc>
          <w:tcPr>
            <w:tcW w:w="1865" w:type="dxa"/>
          </w:tcPr>
          <w:p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K_U07</w:t>
            </w:r>
          </w:p>
          <w:p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Pr="009C54AE" w:rsidRDefault="00B866A0" w:rsidP="009C54AE">
      <w:pPr>
        <w:pStyle w:val="ListParagraph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866A0" w:rsidRPr="009C54AE" w:rsidRDefault="00B866A0" w:rsidP="009C54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B866A0" w:rsidRPr="009C54AE" w:rsidRDefault="00B866A0" w:rsidP="009C54AE">
      <w:pPr>
        <w:pStyle w:val="ListParagraph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20"/>
      </w:tblGrid>
      <w:tr w:rsidR="00B866A0" w:rsidRPr="009C54AE">
        <w:tc>
          <w:tcPr>
            <w:tcW w:w="9520" w:type="dxa"/>
          </w:tcPr>
          <w:p w:rsidR="00B866A0" w:rsidRPr="009C54AE" w:rsidRDefault="00B866A0" w:rsidP="009C54AE">
            <w:pPr>
              <w:pStyle w:val="ListParagraph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NoSpacing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NBP – zasady funkcjonowania i obszary działalności 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NoSpacing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Założenia polityki pieniężnej (analiza instrumentów tradycyjnych i nietradycyjnych).  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NoSpacing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Nadzór makroostrożnościowy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NoSpacing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Odpowiedzialność za stabilność systemu finansowego.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NoSpacing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System płatniczy 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:rsidR="00B866A0" w:rsidRDefault="00B866A0" w:rsidP="00282E3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Ćwiczenia: prezentacje grupowe, praca grupowa, dyskusja moderowana.</w:t>
      </w:r>
    </w:p>
    <w:p w:rsidR="00B866A0" w:rsidRDefault="00B866A0" w:rsidP="00282E3E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1"/>
        <w:gridCol w:w="2117"/>
      </w:tblGrid>
      <w:tr w:rsidR="00B866A0" w:rsidRPr="009C54AE">
        <w:tc>
          <w:tcPr>
            <w:tcW w:w="1962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866A0" w:rsidRPr="009C54AE">
        <w:tc>
          <w:tcPr>
            <w:tcW w:w="1962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441" w:type="dxa"/>
          </w:tcPr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obserwacja w trakcie zajęć,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>
        <w:tc>
          <w:tcPr>
            <w:tcW w:w="1962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441" w:type="dxa"/>
          </w:tcPr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>
        <w:tc>
          <w:tcPr>
            <w:tcW w:w="1962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41" w:type="dxa"/>
          </w:tcPr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866A0" w:rsidRPr="009C54AE">
        <w:tc>
          <w:tcPr>
            <w:tcW w:w="9670" w:type="dxa"/>
          </w:tcPr>
          <w:p w:rsidR="00B866A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Ocena końcowa jest średnią z oceny</w:t>
            </w:r>
          </w:p>
          <w:p w:rsidR="00B866A0" w:rsidRPr="00742F10" w:rsidRDefault="00B866A0" w:rsidP="00742F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>kolokwium,</w:t>
            </w:r>
          </w:p>
          <w:p w:rsidR="00B866A0" w:rsidRPr="00742F10" w:rsidRDefault="00B866A0" w:rsidP="00742F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 xml:space="preserve"> praca zespołowa (prezentacja grupowa),</w:t>
            </w:r>
          </w:p>
          <w:p w:rsidR="00B866A0" w:rsidRDefault="00B866A0" w:rsidP="00282E3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ocena </w:t>
            </w:r>
            <w:r w:rsidRPr="00742F10">
              <w:rPr>
                <w:rFonts w:ascii="Corbel" w:hAnsi="Corbel" w:cs="Corbel"/>
                <w:sz w:val="24"/>
                <w:szCs w:val="24"/>
              </w:rPr>
              <w:t>aktywności i przygotowania do zajęć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  <w:p w:rsidR="00B866A0" w:rsidRPr="00F4033C" w:rsidRDefault="00B866A0" w:rsidP="008F2F12">
            <w:pPr>
              <w:pStyle w:val="ListParagraph"/>
              <w:spacing w:after="0" w:line="240" w:lineRule="auto"/>
              <w:ind w:left="206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 ocenę końcową w 70% waży ocena z kolokwium, 20% ocena z pracy zespołowej i w 10% ocena aktywności.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NoSpacing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02"/>
        <w:gridCol w:w="4618"/>
      </w:tblGrid>
      <w:tr w:rsidR="00B866A0" w:rsidRPr="009C54AE">
        <w:tc>
          <w:tcPr>
            <w:tcW w:w="4902" w:type="dxa"/>
            <w:vAlign w:val="center"/>
          </w:tcPr>
          <w:p w:rsidR="00B866A0" w:rsidRPr="009C54AE" w:rsidRDefault="00B866A0" w:rsidP="009C54AE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B866A0" w:rsidRPr="009C54AE" w:rsidRDefault="00B866A0" w:rsidP="009C54AE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6F1E63">
            <w:pPr>
              <w:pStyle w:val="ListParagraph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6F1E63">
            <w:pPr>
              <w:pStyle w:val="ListParagraph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:rsidR="00B866A0" w:rsidRPr="009C54AE" w:rsidRDefault="00B866A0" w:rsidP="006F1E63">
            <w:pPr>
              <w:pStyle w:val="ListParagraph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F4033C">
            <w:pPr>
              <w:pStyle w:val="ListParagraph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6F1E63">
            <w:pPr>
              <w:pStyle w:val="ListParagraph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9C54AE">
            <w:pPr>
              <w:pStyle w:val="ListParagraph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47"/>
        <w:gridCol w:w="5092"/>
      </w:tblGrid>
      <w:tr w:rsidR="00B866A0" w:rsidRPr="009C54AE">
        <w:trPr>
          <w:trHeight w:val="397"/>
          <w:jc w:val="center"/>
        </w:trPr>
        <w:tc>
          <w:tcPr>
            <w:tcW w:w="3544" w:type="dxa"/>
          </w:tcPr>
          <w:p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866A0" w:rsidRPr="009C54AE">
        <w:trPr>
          <w:trHeight w:val="397"/>
          <w:jc w:val="center"/>
        </w:trPr>
        <w:tc>
          <w:tcPr>
            <w:tcW w:w="3544" w:type="dxa"/>
          </w:tcPr>
          <w:p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866A0" w:rsidRPr="00314FBF">
        <w:trPr>
          <w:trHeight w:val="397"/>
          <w:jc w:val="center"/>
        </w:trPr>
        <w:tc>
          <w:tcPr>
            <w:tcW w:w="7513" w:type="dxa"/>
          </w:tcPr>
          <w:p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NBP, Bankowość centralna od A do Z, NBP, Warszawa, 2008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Jaworski, W.L, Szelągowska, A. (red), Współczesna bankowość centralna, Cedewu, Warszawa, 2012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Materiały, raporty, analizy i opracowania NBP</w:t>
            </w:r>
          </w:p>
        </w:tc>
      </w:tr>
      <w:tr w:rsidR="00B866A0" w:rsidRPr="00314FBF">
        <w:trPr>
          <w:trHeight w:val="397"/>
          <w:jc w:val="center"/>
        </w:trPr>
        <w:tc>
          <w:tcPr>
            <w:tcW w:w="7513" w:type="dxa"/>
          </w:tcPr>
          <w:p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Wojtyna, A. Szkice o polityce pieniężnej, PWE, Warszawa, 2004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Sławiński, A. (red.) Polityka pieniężna, Beck, 2011. 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Przybylska-Kapuścińska W., Sapała M. (red.), Rynek finansowy i zarządzanie w skali mikro- i makroekonomicznej, Wydawnictwo Uniwersytetu Ekonomicznego w Poznaniu,  Poznań 2011.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Gmińska R. (red.), Rynki finansowe, inwestycje, polityka gospodarcza, CeDeWu, Warszawa 2016.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B866A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6A0" w:rsidRDefault="00B866A0" w:rsidP="00C16ABF">
      <w:pPr>
        <w:spacing w:after="0" w:line="240" w:lineRule="auto"/>
      </w:pPr>
      <w:r>
        <w:separator/>
      </w:r>
    </w:p>
  </w:endnote>
  <w:endnote w:type="continuationSeparator" w:id="1">
    <w:p w:rsidR="00B866A0" w:rsidRDefault="00B866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MS Gothic">
    <w:altName w:val="?l?r SVb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6A0" w:rsidRDefault="00B866A0" w:rsidP="00C16ABF">
      <w:pPr>
        <w:spacing w:after="0" w:line="240" w:lineRule="auto"/>
      </w:pPr>
      <w:r>
        <w:separator/>
      </w:r>
    </w:p>
  </w:footnote>
  <w:footnote w:type="continuationSeparator" w:id="1">
    <w:p w:rsidR="00B866A0" w:rsidRDefault="00B866A0" w:rsidP="00C16ABF">
      <w:pPr>
        <w:spacing w:after="0" w:line="240" w:lineRule="auto"/>
      </w:pPr>
      <w:r>
        <w:continuationSeparator/>
      </w:r>
    </w:p>
  </w:footnote>
  <w:footnote w:id="2">
    <w:p w:rsidR="00B866A0" w:rsidRDefault="00B866A0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9CA"/>
    <w:multiLevelType w:val="hybridMultilevel"/>
    <w:tmpl w:val="0854E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8F9"/>
    <w:multiLevelType w:val="hybridMultilevel"/>
    <w:tmpl w:val="E3503582"/>
    <w:lvl w:ilvl="0" w:tplc="E9A4FED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8EF653F"/>
    <w:multiLevelType w:val="hybridMultilevel"/>
    <w:tmpl w:val="B85C3F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0DF"/>
    <w:rsid w:val="00044C82"/>
    <w:rsid w:val="000519F6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EE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774C4"/>
    <w:rsid w:val="00281FF2"/>
    <w:rsid w:val="00282E3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FB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5C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9A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3298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2750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2D8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F10"/>
    <w:rsid w:val="00745302"/>
    <w:rsid w:val="007461D6"/>
    <w:rsid w:val="00746EC8"/>
    <w:rsid w:val="00763BF1"/>
    <w:rsid w:val="00766FD4"/>
    <w:rsid w:val="0078168C"/>
    <w:rsid w:val="0078268B"/>
    <w:rsid w:val="00787C2A"/>
    <w:rsid w:val="00790E27"/>
    <w:rsid w:val="007A4022"/>
    <w:rsid w:val="007A6E6E"/>
    <w:rsid w:val="007C3299"/>
    <w:rsid w:val="007C3BCC"/>
    <w:rsid w:val="007C4546"/>
    <w:rsid w:val="007D6E56"/>
    <w:rsid w:val="007E39C7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92375"/>
    <w:rsid w:val="008A45F7"/>
    <w:rsid w:val="008A727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F12"/>
    <w:rsid w:val="008F6E29"/>
    <w:rsid w:val="00900EB5"/>
    <w:rsid w:val="009056A2"/>
    <w:rsid w:val="00916188"/>
    <w:rsid w:val="00923D7D"/>
    <w:rsid w:val="009508DF"/>
    <w:rsid w:val="00950DAC"/>
    <w:rsid w:val="00954A07"/>
    <w:rsid w:val="00957B50"/>
    <w:rsid w:val="00984B23"/>
    <w:rsid w:val="00991867"/>
    <w:rsid w:val="00997F14"/>
    <w:rsid w:val="009A78D9"/>
    <w:rsid w:val="009C3E31"/>
    <w:rsid w:val="009C54AE"/>
    <w:rsid w:val="009C788E"/>
    <w:rsid w:val="009D1C2B"/>
    <w:rsid w:val="009D21B0"/>
    <w:rsid w:val="009D3F3B"/>
    <w:rsid w:val="009E0543"/>
    <w:rsid w:val="009E3B41"/>
    <w:rsid w:val="009E7A0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5B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6A0"/>
    <w:rsid w:val="00B90885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84A"/>
    <w:rsid w:val="00EC4899"/>
    <w:rsid w:val="00ED03AB"/>
    <w:rsid w:val="00ED32D2"/>
    <w:rsid w:val="00EE32DE"/>
    <w:rsid w:val="00EE4E8F"/>
    <w:rsid w:val="00EE5457"/>
    <w:rsid w:val="00F070AB"/>
    <w:rsid w:val="00F17567"/>
    <w:rsid w:val="00F27A7B"/>
    <w:rsid w:val="00F4033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BD66E9"/>
    <w:rPr>
      <w:rFonts w:eastAsia="Times New Roman"/>
      <w:b/>
      <w:bCs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E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"/>
    <w:uiPriority w:val="99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BodyText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ko-K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747A"/>
    <w:rPr>
      <w:rFonts w:ascii="Calibri" w:eastAsia="Times New Roman" w:hAnsi="Calibri" w:cs="Calibri"/>
      <w:sz w:val="22"/>
      <w:szCs w:val="22"/>
    </w:rPr>
  </w:style>
  <w:style w:type="character" w:styleId="PageNumber">
    <w:name w:val="page number"/>
    <w:basedOn w:val="DefaultParagraphFont"/>
    <w:uiPriority w:val="99"/>
    <w:semiHidden/>
    <w:rsid w:val="0085747A"/>
  </w:style>
  <w:style w:type="character" w:styleId="Hyperlink">
    <w:name w:val="Hyperlink"/>
    <w:basedOn w:val="DefaultParagraphFont"/>
    <w:uiPriority w:val="99"/>
    <w:rsid w:val="00B819C8"/>
    <w:rPr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892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2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92375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2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923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730</Words>
  <Characters>4381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Właściciel</cp:lastModifiedBy>
  <cp:revision>2</cp:revision>
  <cp:lastPrinted>2019-02-06T12:12:00Z</cp:lastPrinted>
  <dcterms:created xsi:type="dcterms:W3CDTF">2020-12-16T16:15:00Z</dcterms:created>
  <dcterms:modified xsi:type="dcterms:W3CDTF">2020-12-16T16:15:00Z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