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BD8A1" w14:textId="07E0FB93" w:rsidR="00CF2F08" w:rsidRPr="00A87C26" w:rsidRDefault="00CF2F08" w:rsidP="00CF2F0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012348"/>
      <w:r w:rsidRPr="00A87C26">
        <w:rPr>
          <w:rFonts w:ascii="Corbel" w:hAnsi="Corbel"/>
          <w:bCs/>
          <w:i/>
        </w:rPr>
        <w:t>Załącznik nr 1.5 do Zarządzenia Rektora UR  nr 12/2019</w:t>
      </w:r>
      <w:bookmarkEnd w:id="0"/>
    </w:p>
    <w:p w14:paraId="636853B6" w14:textId="7D72C27B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7C26">
        <w:rPr>
          <w:rFonts w:ascii="Corbel" w:hAnsi="Corbel"/>
          <w:b/>
          <w:smallCaps/>
          <w:sz w:val="24"/>
          <w:szCs w:val="24"/>
        </w:rPr>
        <w:t>SYLABUS</w:t>
      </w:r>
    </w:p>
    <w:p w14:paraId="34605AAA" w14:textId="6901E501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7C26">
        <w:rPr>
          <w:rFonts w:ascii="Corbel" w:hAnsi="Corbel"/>
          <w:b/>
          <w:smallCaps/>
          <w:sz w:val="24"/>
          <w:szCs w:val="24"/>
        </w:rPr>
        <w:t>dotyczy cyklu kształcenia 202</w:t>
      </w:r>
      <w:r w:rsidR="00555D76">
        <w:rPr>
          <w:rFonts w:ascii="Corbel" w:hAnsi="Corbel"/>
          <w:b/>
          <w:smallCaps/>
          <w:sz w:val="24"/>
          <w:szCs w:val="24"/>
        </w:rPr>
        <w:t>1</w:t>
      </w:r>
      <w:r w:rsidRPr="00A87C26">
        <w:rPr>
          <w:rFonts w:ascii="Corbel" w:hAnsi="Corbel"/>
          <w:b/>
          <w:smallCaps/>
          <w:sz w:val="24"/>
          <w:szCs w:val="24"/>
        </w:rPr>
        <w:t>-202</w:t>
      </w:r>
      <w:r w:rsidR="00555D76">
        <w:rPr>
          <w:rFonts w:ascii="Corbel" w:hAnsi="Corbel"/>
          <w:b/>
          <w:smallCaps/>
          <w:sz w:val="24"/>
          <w:szCs w:val="24"/>
        </w:rPr>
        <w:t>3</w:t>
      </w:r>
    </w:p>
    <w:p w14:paraId="0DF0ED7C" w14:textId="34B1E041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>Rok akademicki 202</w:t>
      </w:r>
      <w:r w:rsidR="00555D76">
        <w:rPr>
          <w:rFonts w:ascii="Corbel" w:hAnsi="Corbel"/>
          <w:sz w:val="24"/>
          <w:szCs w:val="24"/>
        </w:rPr>
        <w:t>2</w:t>
      </w:r>
      <w:r w:rsidRPr="00A87C26">
        <w:rPr>
          <w:rFonts w:ascii="Corbel" w:hAnsi="Corbel"/>
          <w:sz w:val="24"/>
          <w:szCs w:val="24"/>
        </w:rPr>
        <w:t>/202</w:t>
      </w:r>
      <w:r w:rsidR="00555D76">
        <w:rPr>
          <w:rFonts w:ascii="Corbel" w:hAnsi="Corbel"/>
          <w:sz w:val="24"/>
          <w:szCs w:val="24"/>
        </w:rPr>
        <w:t>3</w:t>
      </w:r>
      <w:bookmarkStart w:id="1" w:name="_GoBack"/>
      <w:bookmarkEnd w:id="1"/>
    </w:p>
    <w:p w14:paraId="2E2AA97A" w14:textId="77777777" w:rsidR="00CF2F08" w:rsidRPr="00A87C26" w:rsidRDefault="00CF2F08" w:rsidP="00A0221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ED36BB6" w14:textId="18DB794A" w:rsidR="00A02211" w:rsidRPr="00A87C26" w:rsidRDefault="00A02211" w:rsidP="00CF2F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Podstawowe informacje o przedmiocie </w:t>
      </w:r>
    </w:p>
    <w:p w14:paraId="662E4A0B" w14:textId="77777777" w:rsidR="00CF2F08" w:rsidRPr="00A87C26" w:rsidRDefault="00CF2F08" w:rsidP="00CF2F0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2211" w:rsidRPr="00A87C26" w14:paraId="0E812E8A" w14:textId="77777777" w:rsidTr="004D3275">
        <w:tc>
          <w:tcPr>
            <w:tcW w:w="2694" w:type="dxa"/>
            <w:vAlign w:val="center"/>
          </w:tcPr>
          <w:p w14:paraId="3FD811C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2E4E5D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System bankowy Unii Europejskiej</w:t>
            </w:r>
          </w:p>
        </w:tc>
      </w:tr>
      <w:tr w:rsidR="00A02211" w:rsidRPr="00A87C26" w14:paraId="209A3214" w14:textId="77777777" w:rsidTr="004D3275">
        <w:tc>
          <w:tcPr>
            <w:tcW w:w="2694" w:type="dxa"/>
            <w:vAlign w:val="center"/>
          </w:tcPr>
          <w:p w14:paraId="0CE31510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7EABD1BD" w14:textId="77777777" w:rsidR="00A02211" w:rsidRPr="00A87C26" w:rsidRDefault="00455F83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 -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II/EP/- C 1.4.a</w:t>
            </w:r>
          </w:p>
        </w:tc>
      </w:tr>
      <w:tr w:rsidR="00A02211" w:rsidRPr="00A87C26" w14:paraId="09A8E780" w14:textId="77777777" w:rsidTr="004D3275">
        <w:tc>
          <w:tcPr>
            <w:tcW w:w="2694" w:type="dxa"/>
            <w:vAlign w:val="center"/>
          </w:tcPr>
          <w:p w14:paraId="567FEAD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609E63" w14:textId="086AA3BC" w:rsidR="00A02211" w:rsidRPr="00A87C26" w:rsidRDefault="0005348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F2F08" w:rsidRPr="00A87C26" w14:paraId="4A13FB50" w14:textId="77777777" w:rsidTr="004D3275">
        <w:tc>
          <w:tcPr>
            <w:tcW w:w="2694" w:type="dxa"/>
            <w:vAlign w:val="center"/>
          </w:tcPr>
          <w:p w14:paraId="2FC5E16F" w14:textId="77777777" w:rsidR="00CF2F08" w:rsidRPr="00A87C26" w:rsidRDefault="00CF2F08" w:rsidP="00CF2F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6212F" w14:textId="5E51CD7A" w:rsidR="00CF2F08" w:rsidRPr="00A87C26" w:rsidRDefault="00CF2F08" w:rsidP="00CF2F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02211" w:rsidRPr="00A87C26" w14:paraId="5AFBA9E8" w14:textId="77777777" w:rsidTr="004D3275">
        <w:tc>
          <w:tcPr>
            <w:tcW w:w="2694" w:type="dxa"/>
            <w:vAlign w:val="center"/>
          </w:tcPr>
          <w:p w14:paraId="7B9D13D6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0EE889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02211" w:rsidRPr="00A87C26" w14:paraId="625EAC75" w14:textId="77777777" w:rsidTr="004D3275">
        <w:tc>
          <w:tcPr>
            <w:tcW w:w="2694" w:type="dxa"/>
            <w:vAlign w:val="center"/>
          </w:tcPr>
          <w:p w14:paraId="03B216D5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228BEB" w14:textId="1CE17AA9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02211" w:rsidRPr="00A87C26" w14:paraId="62945919" w14:textId="77777777" w:rsidTr="004D3275">
        <w:tc>
          <w:tcPr>
            <w:tcW w:w="2694" w:type="dxa"/>
            <w:vAlign w:val="center"/>
          </w:tcPr>
          <w:p w14:paraId="650AE88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960D" w14:textId="499DD66C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7C2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02211" w:rsidRPr="00A87C26" w14:paraId="401E61A4" w14:textId="77777777" w:rsidTr="004D3275">
        <w:tc>
          <w:tcPr>
            <w:tcW w:w="2694" w:type="dxa"/>
            <w:vAlign w:val="center"/>
          </w:tcPr>
          <w:p w14:paraId="702AEEF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E8699" w14:textId="281C6B7D" w:rsidR="00A02211" w:rsidRPr="00A87C26" w:rsidRDefault="0005348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02211" w:rsidRPr="00A87C26" w14:paraId="53D3312E" w14:textId="77777777" w:rsidTr="004D3275">
        <w:tc>
          <w:tcPr>
            <w:tcW w:w="2694" w:type="dxa"/>
            <w:vAlign w:val="center"/>
          </w:tcPr>
          <w:p w14:paraId="6894A40C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66478A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A02211" w:rsidRPr="00A87C26" w14:paraId="51EA1704" w14:textId="77777777" w:rsidTr="004D3275">
        <w:tc>
          <w:tcPr>
            <w:tcW w:w="2694" w:type="dxa"/>
            <w:vAlign w:val="center"/>
          </w:tcPr>
          <w:p w14:paraId="6812867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BCFAB1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A02211" w:rsidRPr="00A87C26" w14:paraId="40AEECE7" w14:textId="77777777" w:rsidTr="004D3275">
        <w:tc>
          <w:tcPr>
            <w:tcW w:w="2694" w:type="dxa"/>
            <w:vAlign w:val="center"/>
          </w:tcPr>
          <w:p w14:paraId="1C81CF92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04C2B8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02211" w:rsidRPr="00A87C26" w14:paraId="25CB75DA" w14:textId="77777777" w:rsidTr="004D3275">
        <w:tc>
          <w:tcPr>
            <w:tcW w:w="2694" w:type="dxa"/>
            <w:vAlign w:val="center"/>
          </w:tcPr>
          <w:p w14:paraId="11C32E8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DC3434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A02211" w:rsidRPr="00A87C26" w14:paraId="4CFB0C28" w14:textId="77777777" w:rsidTr="004D3275">
        <w:tc>
          <w:tcPr>
            <w:tcW w:w="2694" w:type="dxa"/>
            <w:vAlign w:val="center"/>
          </w:tcPr>
          <w:p w14:paraId="0974E03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9BA40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</w:tbl>
    <w:p w14:paraId="560E2B61" w14:textId="77777777" w:rsidR="00A02211" w:rsidRPr="00A87C26" w:rsidRDefault="00A02211" w:rsidP="00A022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* </w:t>
      </w:r>
      <w:r w:rsidRPr="00A87C26">
        <w:rPr>
          <w:rFonts w:ascii="Corbel" w:hAnsi="Corbel"/>
          <w:i/>
          <w:sz w:val="24"/>
          <w:szCs w:val="24"/>
        </w:rPr>
        <w:t xml:space="preserve">-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A87C26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A87C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8A301B3" w14:textId="77777777" w:rsidR="00A02211" w:rsidRPr="00A87C26" w:rsidRDefault="00A02211" w:rsidP="00A02211">
      <w:pPr>
        <w:pStyle w:val="Podpunkty"/>
        <w:ind w:left="284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0852B96" w14:textId="77777777" w:rsidR="00A02211" w:rsidRPr="00A87C26" w:rsidRDefault="00A02211" w:rsidP="00A022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A02211" w:rsidRPr="00A87C26" w14:paraId="69D5FF00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13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0FD34D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421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9331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B92CD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757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362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E6FE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49F4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11E0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7825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A02211" w:rsidRPr="00A87C26" w14:paraId="4DE53FD5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A1D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15E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A2AD" w14:textId="44B5FBDF" w:rsidR="00A02211" w:rsidRPr="00A87C26" w:rsidRDefault="0005348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67F7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5382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7D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B58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740F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1FEC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4441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CEB8D9" w14:textId="77777777" w:rsidR="00A02211" w:rsidRPr="00A87C26" w:rsidRDefault="00A02211" w:rsidP="00A0221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96614F" w14:textId="77777777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1.2.  Sposób realizacji zajęć  </w:t>
      </w:r>
    </w:p>
    <w:p w14:paraId="72168A2A" w14:textId="77777777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061323"/>
      <w:bookmarkStart w:id="3" w:name="_Hlk57004889"/>
      <w:r w:rsidRPr="00A87C2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87C2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87C2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87C2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F58B4" w14:textId="77777777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7C26">
        <w:rPr>
          <w:rFonts w:ascii="MS Gothic" w:eastAsia="MS Gothic" w:hAnsi="MS Gothic" w:cs="MS Gothic" w:hint="eastAsia"/>
          <w:b w:val="0"/>
          <w:szCs w:val="24"/>
        </w:rPr>
        <w:t>☐</w:t>
      </w:r>
      <w:r w:rsidRPr="00A87C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2"/>
    </w:p>
    <w:bookmarkEnd w:id="3"/>
    <w:p w14:paraId="5F34F055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F4D615" w14:textId="3D4E1072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1.3 Forma zaliczenia przedmiotu (z toku)</w:t>
      </w:r>
      <w:r w:rsidR="00CF2F08" w:rsidRPr="00A87C26">
        <w:rPr>
          <w:rFonts w:ascii="Corbel" w:hAnsi="Corbel"/>
          <w:smallCaps w:val="0"/>
          <w:szCs w:val="24"/>
        </w:rPr>
        <w:t xml:space="preserve"> </w:t>
      </w:r>
      <w:bookmarkStart w:id="4" w:name="_Hlk57010804"/>
      <w:r w:rsidR="00CF2F08" w:rsidRPr="00A87C26">
        <w:rPr>
          <w:rFonts w:ascii="Corbel" w:hAnsi="Corbel"/>
          <w:b w:val="0"/>
          <w:smallCaps w:val="0"/>
          <w:szCs w:val="24"/>
        </w:rPr>
        <w:t>(egzamin, zaliczenie z oceną, zaliczenie bez oceny)</w:t>
      </w:r>
      <w:bookmarkEnd w:id="4"/>
    </w:p>
    <w:p w14:paraId="27C59801" w14:textId="11F47EA3" w:rsidR="00A02211" w:rsidRPr="00A87C26" w:rsidRDefault="00A02211" w:rsidP="00CF2F0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Zaliczenie</w:t>
      </w:r>
      <w:r w:rsidR="00CF2F08" w:rsidRPr="00A87C26">
        <w:rPr>
          <w:rFonts w:ascii="Corbel" w:hAnsi="Corbel"/>
          <w:b w:val="0"/>
          <w:smallCaps w:val="0"/>
          <w:szCs w:val="24"/>
        </w:rPr>
        <w:t xml:space="preserve"> z oceną </w:t>
      </w:r>
    </w:p>
    <w:p w14:paraId="626536E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5FF916C2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2.Wymagania wstępne </w:t>
      </w:r>
    </w:p>
    <w:p w14:paraId="71EB09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3E65CFF4" w14:textId="77777777" w:rsidTr="004D3275">
        <w:tc>
          <w:tcPr>
            <w:tcW w:w="9670" w:type="dxa"/>
          </w:tcPr>
          <w:p w14:paraId="60DAA12B" w14:textId="77777777" w:rsidR="00A02211" w:rsidRPr="00A87C26" w:rsidRDefault="00A02211" w:rsidP="00CF2F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Rynku kapitałowego i finansowego wskazujące na posiadanie podstawowej wiedzy finansowej (problematyka, kategorie, prawa) oraz umiejętności interpretacji zjawisk ekonomicznych.</w:t>
            </w:r>
          </w:p>
        </w:tc>
      </w:tr>
    </w:tbl>
    <w:p w14:paraId="62E79B9B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6A496C96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br w:type="page"/>
      </w:r>
      <w:r w:rsidRPr="00A87C26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1DD7AA2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75A891EE" w14:textId="1B628897" w:rsidR="00A02211" w:rsidRPr="00A87C26" w:rsidRDefault="00A02211" w:rsidP="00A02211">
      <w:pPr>
        <w:pStyle w:val="Podpunkty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3.1 Cele przedmiotu/modułu </w:t>
      </w:r>
      <w:r w:rsidR="00CF2F08" w:rsidRPr="00A87C26">
        <w:rPr>
          <w:rFonts w:ascii="Corbel" w:hAnsi="Corbel"/>
          <w:sz w:val="24"/>
          <w:szCs w:val="24"/>
          <w:lang w:val="pl-PL"/>
        </w:rPr>
        <w:t xml:space="preserve"> </w:t>
      </w:r>
    </w:p>
    <w:p w14:paraId="2E1EB9C9" w14:textId="77777777" w:rsidR="00CF2F08" w:rsidRPr="00A87C26" w:rsidRDefault="00CF2F08" w:rsidP="00A02211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02211" w:rsidRPr="00A87C26" w14:paraId="544B5523" w14:textId="77777777" w:rsidTr="004D3275">
        <w:trPr>
          <w:trHeight w:val="599"/>
        </w:trPr>
        <w:tc>
          <w:tcPr>
            <w:tcW w:w="851" w:type="dxa"/>
            <w:vAlign w:val="center"/>
          </w:tcPr>
          <w:p w14:paraId="5EF354E4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14:paraId="380C8B5E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Opisuje w sposób pogłębiony problemy współczesnych systemów bankowych Charakteryzuje związki przyczynowo- skutkowych między zjawiskami finansowymi, a normami dyrektywami i zaleceniami Unii Europejskiej</w:t>
            </w:r>
          </w:p>
        </w:tc>
      </w:tr>
      <w:tr w:rsidR="00A02211" w:rsidRPr="00A87C26" w14:paraId="4F0AF896" w14:textId="77777777" w:rsidTr="004D3275">
        <w:trPr>
          <w:trHeight w:val="711"/>
        </w:trPr>
        <w:tc>
          <w:tcPr>
            <w:tcW w:w="851" w:type="dxa"/>
            <w:vAlign w:val="center"/>
          </w:tcPr>
          <w:p w14:paraId="690DFE32" w14:textId="77777777" w:rsidR="00A02211" w:rsidRPr="00A87C26" w:rsidRDefault="00A02211" w:rsidP="004D327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8DDC63D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Charakteryzuje operacje bankowe depozytowe, kredytowe i pośredniczące i zmiany w popycie na usługi bankowe dla klientów indywidualnych, instytucjonalnych oraz rozpoznaje strategie działania banków. </w:t>
            </w:r>
          </w:p>
        </w:tc>
      </w:tr>
      <w:tr w:rsidR="00A02211" w:rsidRPr="00A87C26" w14:paraId="17D879BE" w14:textId="77777777" w:rsidTr="004D3275">
        <w:tc>
          <w:tcPr>
            <w:tcW w:w="851" w:type="dxa"/>
            <w:vAlign w:val="center"/>
          </w:tcPr>
          <w:p w14:paraId="72EF77F1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14:paraId="67D95681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Zna metody pomiaru ryzyka i zabezpieczania tradycyjnego ryzyka bankowego. Nabywa umiejętności analizy wypłacalności instytucji banku, umie oszacować ryzyko upadłości.</w:t>
            </w:r>
          </w:p>
        </w:tc>
      </w:tr>
    </w:tbl>
    <w:p w14:paraId="66C330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2AC32D" w14:textId="77777777" w:rsidR="00A02211" w:rsidRPr="00A87C26" w:rsidRDefault="00A02211" w:rsidP="00A022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>3.2 Efekty uczenia się dla przedmiotu</w:t>
      </w:r>
    </w:p>
    <w:p w14:paraId="288E7E66" w14:textId="77777777" w:rsidR="00A02211" w:rsidRPr="00A87C26" w:rsidRDefault="00A02211" w:rsidP="00A0221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86107D" w:rsidRPr="00A87C26" w14:paraId="4AE42CCB" w14:textId="77777777" w:rsidTr="577EBF1B">
        <w:tc>
          <w:tcPr>
            <w:tcW w:w="1691" w:type="dxa"/>
            <w:vAlign w:val="center"/>
          </w:tcPr>
          <w:p w14:paraId="7D93DBDA" w14:textId="28B5783B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smallCaps w:val="0"/>
                <w:szCs w:val="24"/>
              </w:rPr>
              <w:t>EK</w:t>
            </w: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5964" w:type="dxa"/>
            <w:vAlign w:val="center"/>
          </w:tcPr>
          <w:p w14:paraId="2C66415E" w14:textId="77777777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5" w:type="dxa"/>
            <w:vAlign w:val="center"/>
          </w:tcPr>
          <w:p w14:paraId="69E680B2" w14:textId="64256021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7C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2211" w:rsidRPr="00A87C26" w14:paraId="0B1A5389" w14:textId="77777777" w:rsidTr="577EBF1B">
        <w:tc>
          <w:tcPr>
            <w:tcW w:w="1691" w:type="dxa"/>
          </w:tcPr>
          <w:p w14:paraId="2E973273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64" w:type="dxa"/>
          </w:tcPr>
          <w:p w14:paraId="79774349" w14:textId="2E836BB5" w:rsidR="00A02211" w:rsidRPr="00A87C26" w:rsidRDefault="00A02211" w:rsidP="577EB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Przedstawia opinię na temat podstawowych problemów występujących w systemie bankowym UE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. Potrafi określać główne tendencje rozwojowe w systemie </w:t>
            </w:r>
            <w:r w:rsidR="157B88DB" w:rsidRPr="00A87C26">
              <w:rPr>
                <w:rFonts w:ascii="Corbel" w:hAnsi="Corbel"/>
                <w:sz w:val="24"/>
                <w:szCs w:val="24"/>
              </w:rPr>
              <w:t>bankowości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 U</w:t>
            </w:r>
            <w:r w:rsidR="32EEAE83" w:rsidRPr="00A87C26">
              <w:rPr>
                <w:rFonts w:ascii="Corbel" w:hAnsi="Corbel"/>
                <w:sz w:val="24"/>
                <w:szCs w:val="24"/>
              </w:rPr>
              <w:t>E.</w:t>
            </w:r>
          </w:p>
        </w:tc>
        <w:tc>
          <w:tcPr>
            <w:tcW w:w="1865" w:type="dxa"/>
          </w:tcPr>
          <w:p w14:paraId="580D2391" w14:textId="6B87FE55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A02211" w:rsidRPr="00A87C26" w14:paraId="6A46628D" w14:textId="77777777" w:rsidTr="577EBF1B">
        <w:tc>
          <w:tcPr>
            <w:tcW w:w="1691" w:type="dxa"/>
          </w:tcPr>
          <w:p w14:paraId="0C036ACA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64" w:type="dxa"/>
          </w:tcPr>
          <w:p w14:paraId="7A248DD0" w14:textId="63E38BB2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Przewiduje i analizuje skutki zmian w systemach bankowych i na rynkach finansowych, formułuje wnioski.</w:t>
            </w:r>
            <w:r w:rsidR="7B3491D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Potrafi wykorzystywać posiadaną wiedzę </w:t>
            </w:r>
            <w:r w:rsidR="5F7BC6E4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w procesie </w:t>
            </w:r>
            <w:r w:rsidR="36B411B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poszukiwań rozwiązań złożonych i nietypowych problemów finansowych.</w:t>
            </w:r>
          </w:p>
        </w:tc>
        <w:tc>
          <w:tcPr>
            <w:tcW w:w="1865" w:type="dxa"/>
          </w:tcPr>
          <w:p w14:paraId="67615ADF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K_U02</w:t>
            </w:r>
          </w:p>
          <w:p w14:paraId="1CE81606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K_U03</w:t>
            </w:r>
          </w:p>
          <w:p w14:paraId="0EA1A512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A02211" w:rsidRPr="00A87C26" w14:paraId="1E9DB34D" w14:textId="77777777" w:rsidTr="577EBF1B">
        <w:tc>
          <w:tcPr>
            <w:tcW w:w="1691" w:type="dxa"/>
          </w:tcPr>
          <w:p w14:paraId="293FB23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64" w:type="dxa"/>
            <w:shd w:val="clear" w:color="auto" w:fill="auto"/>
          </w:tcPr>
          <w:p w14:paraId="0BA4862E" w14:textId="71F30750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Posiada kompetencje do podejmowania decyzji finansowych na rynku bankowym</w:t>
            </w:r>
            <w:r w:rsidR="1741E31A" w:rsidRPr="00A87C26">
              <w:rPr>
                <w:rFonts w:ascii="Corbel" w:hAnsi="Corbel"/>
                <w:sz w:val="24"/>
                <w:szCs w:val="24"/>
              </w:rPr>
              <w:t xml:space="preserve"> i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kompetencje uznawania</w:t>
            </w:r>
            <w:r w:rsidR="39329F81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 wiedzy w rozwiązywaniu złożonych problemów poznawczych i praktycznych oraz konfrontowania wiedzy z ekspertami z praktyki gospodarczej.</w:t>
            </w:r>
          </w:p>
        </w:tc>
        <w:tc>
          <w:tcPr>
            <w:tcW w:w="1865" w:type="dxa"/>
          </w:tcPr>
          <w:p w14:paraId="41BC4DE8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00583C9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2F45F6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D92E5" w14:textId="77777777" w:rsidR="00A02211" w:rsidRPr="00A87C26" w:rsidRDefault="00A02211" w:rsidP="00A022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 xml:space="preserve">3.3 Treści programowe </w:t>
      </w:r>
    </w:p>
    <w:p w14:paraId="01F91ACF" w14:textId="77777777" w:rsidR="00A02211" w:rsidRPr="00A87C26" w:rsidRDefault="00A02211" w:rsidP="00A0221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>Problematyka ćwiczeń audytoryjnych</w:t>
      </w:r>
    </w:p>
    <w:p w14:paraId="4C8632D7" w14:textId="77777777" w:rsidR="00A02211" w:rsidRPr="00A87C26" w:rsidRDefault="00A02211" w:rsidP="00A022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24BBF4CB" w14:textId="77777777" w:rsidTr="004D3275">
        <w:tc>
          <w:tcPr>
            <w:tcW w:w="9639" w:type="dxa"/>
          </w:tcPr>
          <w:p w14:paraId="5359526D" w14:textId="77777777" w:rsidR="00A02211" w:rsidRPr="00A87C26" w:rsidRDefault="00A02211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211" w:rsidRPr="00A87C26" w14:paraId="0A157098" w14:textId="77777777" w:rsidTr="004D3275">
        <w:tc>
          <w:tcPr>
            <w:tcW w:w="9639" w:type="dxa"/>
            <w:vAlign w:val="center"/>
          </w:tcPr>
          <w:p w14:paraId="59AAD7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Nadzór nad działalnością banków komercyjnych w Unii Europejskiej. Międzynarodowe standardy w zakresie gwarancji bankowych</w:t>
            </w:r>
            <w:r w:rsidRPr="00A87C26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02211" w:rsidRPr="00A87C26" w14:paraId="0A32DA43" w14:textId="77777777" w:rsidTr="004D3275">
        <w:tc>
          <w:tcPr>
            <w:tcW w:w="9639" w:type="dxa"/>
            <w:vAlign w:val="center"/>
          </w:tcPr>
          <w:p w14:paraId="738D2E37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Zmiany w popycie na usługi bankowe dla klientów indywidualnych, instytucjonalnych strategie działania.</w:t>
            </w:r>
          </w:p>
        </w:tc>
      </w:tr>
      <w:tr w:rsidR="00A02211" w:rsidRPr="00A87C26" w14:paraId="0505BA7B" w14:textId="77777777" w:rsidTr="004D3275">
        <w:tc>
          <w:tcPr>
            <w:tcW w:w="9639" w:type="dxa"/>
          </w:tcPr>
          <w:p w14:paraId="5BEBED9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bankowe depozytowe, kredytowe i pośredniczące. Kierunki zmian portfela banku na tle Unii Europejskiej.</w:t>
            </w:r>
          </w:p>
        </w:tc>
      </w:tr>
      <w:tr w:rsidR="00A02211" w:rsidRPr="00A87C26" w14:paraId="0775CC9A" w14:textId="77777777" w:rsidTr="004D3275">
        <w:tc>
          <w:tcPr>
            <w:tcW w:w="9639" w:type="dxa"/>
            <w:vAlign w:val="center"/>
          </w:tcPr>
          <w:p w14:paraId="47CFBC4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banków uniwersalnych. Prawno-organizacyjne formy udzielania kredytów działalność gospodarczą.</w:t>
            </w:r>
          </w:p>
        </w:tc>
      </w:tr>
      <w:tr w:rsidR="00A02211" w:rsidRPr="00A87C26" w14:paraId="4FF89E4D" w14:textId="77777777" w:rsidTr="004D3275">
        <w:tc>
          <w:tcPr>
            <w:tcW w:w="9639" w:type="dxa"/>
            <w:vAlign w:val="center"/>
          </w:tcPr>
          <w:p w14:paraId="4D36F242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Uwarunkowania leasingu i zabezpieczanie jego spłat. Gwarancje i poręczenia bankowe. Operacje płatnicze z uwzględnieniem obrotów z zagranicą.</w:t>
            </w:r>
          </w:p>
        </w:tc>
      </w:tr>
      <w:tr w:rsidR="00A02211" w:rsidRPr="00A87C26" w14:paraId="48F614DB" w14:textId="77777777" w:rsidTr="004D3275">
        <w:tc>
          <w:tcPr>
            <w:tcW w:w="9639" w:type="dxa"/>
            <w:vAlign w:val="center"/>
          </w:tcPr>
          <w:p w14:paraId="0FDDBF06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Międzynarodowe rynki pieniądza. Segmenty rynku kapitałowego. Kapitał pożyczkowy, rynek kapitału właścicielskiego. Bankowe domy.</w:t>
            </w:r>
          </w:p>
        </w:tc>
      </w:tr>
      <w:tr w:rsidR="00A02211" w:rsidRPr="00A87C26" w14:paraId="26AF8F77" w14:textId="77777777" w:rsidTr="004D3275">
        <w:tc>
          <w:tcPr>
            <w:tcW w:w="9639" w:type="dxa"/>
            <w:vAlign w:val="center"/>
          </w:tcPr>
          <w:p w14:paraId="238B00EF" w14:textId="77777777" w:rsidR="00A02211" w:rsidRPr="00A87C26" w:rsidRDefault="00A02211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Operacje bankowości elektronicznej. Portale finansowe. 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E-banking,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lending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biling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broking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.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Zarządzanie finansami osobistymi. Integracja produktów finansowych</w:t>
            </w:r>
          </w:p>
        </w:tc>
      </w:tr>
      <w:tr w:rsidR="00A02211" w:rsidRPr="00A87C26" w14:paraId="2FBEE80A" w14:textId="77777777" w:rsidTr="004D3275">
        <w:tc>
          <w:tcPr>
            <w:tcW w:w="9639" w:type="dxa"/>
            <w:vAlign w:val="center"/>
          </w:tcPr>
          <w:p w14:paraId="381F9C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Polityka dywersyfikacji ryzyka produktowego i ryzyka rynkowego w działalności banków uniwersalnych. Stabilność systemu bankowego - analiza fundamentalna. </w:t>
            </w:r>
          </w:p>
        </w:tc>
      </w:tr>
      <w:tr w:rsidR="00A02211" w:rsidRPr="00A87C26" w14:paraId="1797A68B" w14:textId="77777777" w:rsidTr="004D3275">
        <w:tc>
          <w:tcPr>
            <w:tcW w:w="9639" w:type="dxa"/>
            <w:vAlign w:val="center"/>
          </w:tcPr>
          <w:p w14:paraId="49D8A75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Polityka, strategie i planowanie w procesie zarządzania bankiem. Ustalanie strategii banku. Analiza obszarowa.  Identyfikacja źródeł ryzyka w działalności bankowej na rynku UE.</w:t>
            </w:r>
          </w:p>
        </w:tc>
      </w:tr>
      <w:tr w:rsidR="00A02211" w:rsidRPr="00A87C26" w14:paraId="498A5AC7" w14:textId="77777777" w:rsidTr="004D3275">
        <w:tc>
          <w:tcPr>
            <w:tcW w:w="9639" w:type="dxa"/>
            <w:vAlign w:val="center"/>
          </w:tcPr>
          <w:p w14:paraId="2FDCED5A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Metody pomiaru ryzyka-wewnętrzne modele, metoda Value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at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risk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. Zabezpieczania tradycyjnych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ryzyk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 bankowych.</w:t>
            </w:r>
          </w:p>
        </w:tc>
      </w:tr>
    </w:tbl>
    <w:p w14:paraId="5BC97043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4B0B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3.4 Metody dydaktyczne</w:t>
      </w:r>
      <w:r w:rsidRPr="00A87C26">
        <w:rPr>
          <w:rFonts w:ascii="Corbel" w:hAnsi="Corbel"/>
          <w:b w:val="0"/>
          <w:smallCaps w:val="0"/>
          <w:szCs w:val="24"/>
        </w:rPr>
        <w:t xml:space="preserve"> </w:t>
      </w:r>
    </w:p>
    <w:p w14:paraId="355CA91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24B84" w14:textId="26C7FBD3" w:rsidR="00A02211" w:rsidRPr="00A87C26" w:rsidRDefault="00A02211" w:rsidP="577EBF1B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A87C26">
        <w:rPr>
          <w:rFonts w:ascii="Corbel" w:hAnsi="Corbel"/>
          <w:b w:val="0"/>
          <w:smallCaps w:val="0"/>
        </w:rPr>
        <w:t>Ćwiczenia: studia przypadków</w:t>
      </w:r>
      <w:r w:rsidRPr="00A87C26">
        <w:rPr>
          <w:rFonts w:ascii="Corbel" w:hAnsi="Corbel"/>
          <w:b w:val="0"/>
          <w:i/>
          <w:iCs/>
          <w:smallCaps w:val="0"/>
        </w:rPr>
        <w:t xml:space="preserve">, </w:t>
      </w:r>
      <w:r w:rsidRPr="00A87C26">
        <w:rPr>
          <w:rFonts w:ascii="Corbel" w:hAnsi="Corbel"/>
          <w:b w:val="0"/>
          <w:smallCaps w:val="0"/>
        </w:rPr>
        <w:t>rozwiązywanie zadań, praca zespołowa</w:t>
      </w:r>
    </w:p>
    <w:p w14:paraId="5DE56DC0" w14:textId="77777777" w:rsidR="00A02211" w:rsidRPr="00A87C26" w:rsidRDefault="00A02211" w:rsidP="00A0221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B051D7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 METODY I KRYTERIA OCENY </w:t>
      </w:r>
    </w:p>
    <w:p w14:paraId="18407EF2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52DB95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4.1 Sposoby weryfikacji efektów uczenia się</w:t>
      </w:r>
    </w:p>
    <w:p w14:paraId="6EBEE2E1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A02211" w:rsidRPr="00A87C26" w14:paraId="58DFE4E5" w14:textId="77777777" w:rsidTr="004D3275">
        <w:tc>
          <w:tcPr>
            <w:tcW w:w="1843" w:type="dxa"/>
            <w:vAlign w:val="center"/>
          </w:tcPr>
          <w:p w14:paraId="2C12C667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7523036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1735C"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57107CCE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90C7F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546CD5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2211" w:rsidRPr="00A87C26" w14:paraId="47A5D05F" w14:textId="77777777" w:rsidTr="004D3275">
        <w:tc>
          <w:tcPr>
            <w:tcW w:w="1843" w:type="dxa"/>
          </w:tcPr>
          <w:p w14:paraId="205D03E8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2B6B962D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96D0D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2921E87C" w14:textId="77777777" w:rsidTr="004D3275">
        <w:tc>
          <w:tcPr>
            <w:tcW w:w="1843" w:type="dxa"/>
          </w:tcPr>
          <w:p w14:paraId="3F379977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307329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62D76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5E4E6A03" w14:textId="77777777" w:rsidTr="004D3275">
        <w:tc>
          <w:tcPr>
            <w:tcW w:w="1843" w:type="dxa"/>
          </w:tcPr>
          <w:p w14:paraId="14E0A0B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08821A6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023C4C7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45EDC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C0B3D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C09EF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211" w:rsidRPr="00A87C26" w14:paraId="066D775E" w14:textId="77777777" w:rsidTr="004D3275">
        <w:tc>
          <w:tcPr>
            <w:tcW w:w="9670" w:type="dxa"/>
          </w:tcPr>
          <w:p w14:paraId="12787F85" w14:textId="77777777" w:rsidR="00A02211" w:rsidRPr="00A87C26" w:rsidRDefault="00A02211" w:rsidP="00A11A0D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Zaliczenie przedmiotu będzie realizowane w formie pisemnej jako test wielokrotnego wyboru w liczbie dwóch.</w:t>
            </w:r>
          </w:p>
          <w:p w14:paraId="33C0D8CD" w14:textId="77777777" w:rsidR="008A140F" w:rsidRPr="00A87C26" w:rsidRDefault="008A140F" w:rsidP="00A11A0D">
            <w:pPr>
              <w:spacing w:after="0" w:line="240" w:lineRule="auto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Ocena 3,0 wymaga zdobycia 51% maksymalnej ilości punktów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>.</w:t>
            </w:r>
          </w:p>
          <w:p w14:paraId="0849EEE4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  0 – 50%   2,0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75E6012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51 – 60%   3,0 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A9851B5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61 – 70%   3,5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608344F3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6F900F6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81 – 90%   4,5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9A051C3" w14:textId="3F87749D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mallCaps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91 – 100% 5,0</w:t>
            </w:r>
          </w:p>
        </w:tc>
      </w:tr>
    </w:tbl>
    <w:p w14:paraId="3088F63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B58A1" w14:textId="77777777" w:rsidR="00A02211" w:rsidRPr="00A87C26" w:rsidRDefault="00A02211" w:rsidP="00A022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863E37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2211" w:rsidRPr="00A87C26" w14:paraId="63A88F17" w14:textId="77777777" w:rsidTr="004D3275">
        <w:tc>
          <w:tcPr>
            <w:tcW w:w="4962" w:type="dxa"/>
            <w:vAlign w:val="center"/>
          </w:tcPr>
          <w:p w14:paraId="2B1B2BCC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C6BEE7A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2211" w:rsidRPr="00A87C26" w14:paraId="461153DE" w14:textId="77777777" w:rsidTr="004D3275">
        <w:tc>
          <w:tcPr>
            <w:tcW w:w="4962" w:type="dxa"/>
          </w:tcPr>
          <w:p w14:paraId="54865E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</w:tcPr>
          <w:p w14:paraId="41D93D4C" w14:textId="43BC15A1" w:rsidR="00A02211" w:rsidRPr="00A87C26" w:rsidRDefault="0005348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A02211" w:rsidRPr="00A87C26" w14:paraId="38D09413" w14:textId="77777777" w:rsidTr="004D3275">
        <w:tc>
          <w:tcPr>
            <w:tcW w:w="4962" w:type="dxa"/>
          </w:tcPr>
          <w:p w14:paraId="21CB3B86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CB74F49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69618F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A02211" w:rsidRPr="00A87C26" w14:paraId="5391F6CD" w14:textId="77777777" w:rsidTr="004D3275">
        <w:tc>
          <w:tcPr>
            <w:tcW w:w="4962" w:type="dxa"/>
          </w:tcPr>
          <w:p w14:paraId="34CD70C0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14:paraId="486B330B" w14:textId="2E22BDA6" w:rsidR="00A02211" w:rsidRPr="00A87C26" w:rsidRDefault="0005348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A02211" w:rsidRPr="00A87C26" w14:paraId="75F58263" w14:textId="77777777" w:rsidTr="004D3275">
        <w:tc>
          <w:tcPr>
            <w:tcW w:w="4962" w:type="dxa"/>
          </w:tcPr>
          <w:p w14:paraId="21B5ED18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55644B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A02211" w:rsidRPr="00A87C26" w14:paraId="2C7BD1F6" w14:textId="77777777" w:rsidTr="004D3275">
        <w:tc>
          <w:tcPr>
            <w:tcW w:w="4962" w:type="dxa"/>
          </w:tcPr>
          <w:p w14:paraId="6697F471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8983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2532A34F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7C2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2AFD87B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F10A4C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C8F1634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02211" w:rsidRPr="00A87C26" w14:paraId="39C01F92" w14:textId="77777777" w:rsidTr="004D3275">
        <w:trPr>
          <w:trHeight w:val="397"/>
        </w:trPr>
        <w:tc>
          <w:tcPr>
            <w:tcW w:w="2359" w:type="pct"/>
          </w:tcPr>
          <w:p w14:paraId="2853988B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A0FC332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02211" w:rsidRPr="00A87C26" w14:paraId="3E1164DA" w14:textId="77777777" w:rsidTr="004D3275">
        <w:trPr>
          <w:trHeight w:val="397"/>
        </w:trPr>
        <w:tc>
          <w:tcPr>
            <w:tcW w:w="2359" w:type="pct"/>
          </w:tcPr>
          <w:p w14:paraId="1A87E5AE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82FC2E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56C780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305E34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7. LITERATURA </w:t>
      </w:r>
    </w:p>
    <w:p w14:paraId="229ACF87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211" w:rsidRPr="00A87C26" w14:paraId="0D5AE5FC" w14:textId="77777777" w:rsidTr="577EBF1B">
        <w:trPr>
          <w:trHeight w:val="397"/>
        </w:trPr>
        <w:tc>
          <w:tcPr>
            <w:tcW w:w="5000" w:type="pct"/>
          </w:tcPr>
          <w:p w14:paraId="28183155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2941B3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J. Świderska, Współczesny system bankowy : ujęcie instytucjonalne,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, Warszawa, 2013.</w:t>
            </w:r>
          </w:p>
          <w:p w14:paraId="20CA563B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W.L. Jaworski, Z.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Krzyżkiewicz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, B. Kosiński, Banki - rynek, operacje, polityka,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Poltex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>, Warszawa, 2014</w:t>
            </w:r>
          </w:p>
        </w:tc>
      </w:tr>
      <w:tr w:rsidR="00A02211" w:rsidRPr="00A87C26" w14:paraId="03B15F0A" w14:textId="77777777" w:rsidTr="577EBF1B">
        <w:trPr>
          <w:trHeight w:val="397"/>
        </w:trPr>
        <w:tc>
          <w:tcPr>
            <w:tcW w:w="5000" w:type="pct"/>
          </w:tcPr>
          <w:p w14:paraId="7335B223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FFCE64" w14:textId="62DF1B3A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Canalas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Stratekurencyjne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w europejskiej bankowości, PWN, Warszawa, 2019</w:t>
            </w:r>
          </w:p>
          <w:p w14:paraId="21E251F8" w14:textId="66105B16" w:rsidR="39D97709" w:rsidRPr="00A87C26" w:rsidRDefault="39D97709" w:rsidP="577EBF1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P. Filip,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M.Grzebyk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L.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Kaliszczak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Development of the small and medium enterprises in Poland  in comparison with European Union member states,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Prace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Naukowe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Uniwersytetu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Rzeszowskiego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seria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Monografie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Opracowania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nr 10,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Rzeszów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2010</w:t>
            </w:r>
          </w:p>
          <w:p w14:paraId="099DBEE7" w14:textId="767321CE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G.</w:t>
            </w:r>
            <w:r w:rsidR="2E6DB7A0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7C26">
              <w:rPr>
                <w:rFonts w:ascii="Corbel" w:hAnsi="Corbel"/>
                <w:sz w:val="24"/>
                <w:szCs w:val="24"/>
              </w:rPr>
              <w:t xml:space="preserve">Olszewska, System bankowy a uwarunkowania wzrostu gospodarczego w krajach Europy Środkowej na przykładzie Polski, Czech, Słowacji i Węgier: Instytut Naukowo-Wydawniczy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Spatium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>, Radom, 2018.</w:t>
            </w:r>
          </w:p>
        </w:tc>
      </w:tr>
    </w:tbl>
    <w:p w14:paraId="4697C22C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0ED06" w14:textId="77777777" w:rsidR="00A02211" w:rsidRPr="00931BBD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91CD42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85DE8" w14:textId="77777777" w:rsidR="00D26671" w:rsidRDefault="00D26671" w:rsidP="0086107D">
      <w:pPr>
        <w:spacing w:after="0" w:line="240" w:lineRule="auto"/>
      </w:pPr>
      <w:r>
        <w:separator/>
      </w:r>
    </w:p>
  </w:endnote>
  <w:endnote w:type="continuationSeparator" w:id="0">
    <w:p w14:paraId="26F12B73" w14:textId="77777777" w:rsidR="00D26671" w:rsidRDefault="00D26671" w:rsidP="00861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0CC94" w14:textId="77777777" w:rsidR="00D26671" w:rsidRDefault="00D26671" w:rsidP="0086107D">
      <w:pPr>
        <w:spacing w:after="0" w:line="240" w:lineRule="auto"/>
      </w:pPr>
      <w:r>
        <w:separator/>
      </w:r>
    </w:p>
  </w:footnote>
  <w:footnote w:type="continuationSeparator" w:id="0">
    <w:p w14:paraId="48F3721D" w14:textId="77777777" w:rsidR="00D26671" w:rsidRDefault="00D26671" w:rsidP="0086107D">
      <w:pPr>
        <w:spacing w:after="0" w:line="240" w:lineRule="auto"/>
      </w:pPr>
      <w:r>
        <w:continuationSeparator/>
      </w:r>
    </w:p>
  </w:footnote>
  <w:footnote w:id="1">
    <w:p w14:paraId="08E5B400" w14:textId="77777777" w:rsidR="0086107D" w:rsidRDefault="008610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B403B"/>
    <w:multiLevelType w:val="hybridMultilevel"/>
    <w:tmpl w:val="9F72529A"/>
    <w:lvl w:ilvl="0" w:tplc="44784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2ED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08D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EF2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2F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B4E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4C5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4D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FA1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C85210"/>
    <w:multiLevelType w:val="hybridMultilevel"/>
    <w:tmpl w:val="AD926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32E0C"/>
    <w:multiLevelType w:val="hybridMultilevel"/>
    <w:tmpl w:val="8A6CD9B0"/>
    <w:lvl w:ilvl="0" w:tplc="A8264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211"/>
    <w:rsid w:val="00003A83"/>
    <w:rsid w:val="00053481"/>
    <w:rsid w:val="00121D67"/>
    <w:rsid w:val="00351E37"/>
    <w:rsid w:val="00420681"/>
    <w:rsid w:val="00455F83"/>
    <w:rsid w:val="00502473"/>
    <w:rsid w:val="00555D76"/>
    <w:rsid w:val="005E451B"/>
    <w:rsid w:val="0061735C"/>
    <w:rsid w:val="00623E5C"/>
    <w:rsid w:val="0086107D"/>
    <w:rsid w:val="008A140F"/>
    <w:rsid w:val="00A02211"/>
    <w:rsid w:val="00A11A0D"/>
    <w:rsid w:val="00A87C26"/>
    <w:rsid w:val="00B9559C"/>
    <w:rsid w:val="00CF2F08"/>
    <w:rsid w:val="00D26671"/>
    <w:rsid w:val="00D570F7"/>
    <w:rsid w:val="00DB2B7C"/>
    <w:rsid w:val="00F1639F"/>
    <w:rsid w:val="080B4C68"/>
    <w:rsid w:val="157B88DB"/>
    <w:rsid w:val="1741E31A"/>
    <w:rsid w:val="1747120A"/>
    <w:rsid w:val="1853FD5A"/>
    <w:rsid w:val="18E2E26B"/>
    <w:rsid w:val="1DB6538E"/>
    <w:rsid w:val="20EDF450"/>
    <w:rsid w:val="2722B5A1"/>
    <w:rsid w:val="2765235A"/>
    <w:rsid w:val="2A5614A4"/>
    <w:rsid w:val="2C965139"/>
    <w:rsid w:val="2E6DB7A0"/>
    <w:rsid w:val="32EEAE83"/>
    <w:rsid w:val="36B411B7"/>
    <w:rsid w:val="36CB4C30"/>
    <w:rsid w:val="39329F81"/>
    <w:rsid w:val="39D97709"/>
    <w:rsid w:val="3EDE4B9B"/>
    <w:rsid w:val="41FCC400"/>
    <w:rsid w:val="4215EC5D"/>
    <w:rsid w:val="44488F55"/>
    <w:rsid w:val="486C0584"/>
    <w:rsid w:val="50771769"/>
    <w:rsid w:val="53AEB82B"/>
    <w:rsid w:val="554A888C"/>
    <w:rsid w:val="577EBF1B"/>
    <w:rsid w:val="5F7BC6E4"/>
    <w:rsid w:val="717DF993"/>
    <w:rsid w:val="7458026B"/>
    <w:rsid w:val="77DC0040"/>
    <w:rsid w:val="7B3491D7"/>
    <w:rsid w:val="7C739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B1F7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2211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2211"/>
    <w:pPr>
      <w:ind w:left="720"/>
      <w:contextualSpacing/>
    </w:pPr>
  </w:style>
  <w:style w:type="paragraph" w:customStyle="1" w:styleId="Punktygwne">
    <w:name w:val="Punkty główne"/>
    <w:basedOn w:val="Normalny"/>
    <w:rsid w:val="00A022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022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A022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022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A0221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A02211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A022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02211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22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221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0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0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10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E29738-4CC6-4DDC-BC0D-254ECFC94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1B704B-3802-4D6A-A496-74809009B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2E1B14-9427-483D-812A-92EE647FCD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957</Words>
  <Characters>5743</Characters>
  <Application>Microsoft Office Word</Application>
  <DocSecurity>0</DocSecurity>
  <Lines>47</Lines>
  <Paragraphs>13</Paragraphs>
  <ScaleCrop>false</ScaleCrop>
  <Company>aaa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Sekcja Jakości i Akr. KNS</cp:lastModifiedBy>
  <cp:revision>11</cp:revision>
  <dcterms:created xsi:type="dcterms:W3CDTF">2020-11-24T08:31:00Z</dcterms:created>
  <dcterms:modified xsi:type="dcterms:W3CDTF">2021-09-06T05:50:00Z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