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BB986" w14:textId="3CFD7206" w:rsidR="00DD3A5F" w:rsidRDefault="00DD3A5F" w:rsidP="00DD3A5F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291907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291907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1F35C902" w:rsidR="008E63CC" w:rsidRPr="007A3B22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A711D">
        <w:rPr>
          <w:rFonts w:ascii="Corbel" w:hAnsi="Corbel"/>
          <w:i/>
          <w:smallCaps/>
          <w:sz w:val="24"/>
          <w:szCs w:val="24"/>
        </w:rPr>
        <w:t>20</w:t>
      </w:r>
      <w:r w:rsidR="002B3FF4">
        <w:rPr>
          <w:rFonts w:ascii="Corbel" w:hAnsi="Corbel"/>
          <w:i/>
          <w:smallCaps/>
          <w:sz w:val="24"/>
          <w:szCs w:val="24"/>
        </w:rPr>
        <w:t>21</w:t>
      </w:r>
      <w:r w:rsidR="003A711D">
        <w:rPr>
          <w:rFonts w:ascii="Corbel" w:hAnsi="Corbel"/>
          <w:i/>
          <w:smallCaps/>
          <w:sz w:val="24"/>
          <w:szCs w:val="24"/>
        </w:rPr>
        <w:t>-202</w:t>
      </w:r>
      <w:r w:rsidR="002B3FF4">
        <w:rPr>
          <w:rFonts w:ascii="Corbel" w:hAnsi="Corbel"/>
          <w:i/>
          <w:smallCaps/>
          <w:sz w:val="24"/>
          <w:szCs w:val="24"/>
        </w:rPr>
        <w:t>4</w:t>
      </w:r>
    </w:p>
    <w:p w14:paraId="5CD38022" w14:textId="59B78C5D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4966D1">
        <w:rPr>
          <w:rFonts w:ascii="Corbel" w:hAnsi="Corbel"/>
          <w:sz w:val="20"/>
          <w:szCs w:val="20"/>
        </w:rPr>
        <w:t>Rok akademicki 202</w:t>
      </w:r>
      <w:r w:rsidR="002B3FF4">
        <w:rPr>
          <w:rFonts w:ascii="Corbel" w:hAnsi="Corbel"/>
          <w:sz w:val="20"/>
          <w:szCs w:val="20"/>
        </w:rPr>
        <w:t>2</w:t>
      </w:r>
      <w:r w:rsidRPr="004966D1">
        <w:rPr>
          <w:rFonts w:ascii="Corbel" w:hAnsi="Corbel"/>
          <w:sz w:val="20"/>
          <w:szCs w:val="20"/>
        </w:rPr>
        <w:t>/202</w:t>
      </w:r>
      <w:r w:rsidR="002B3FF4">
        <w:rPr>
          <w:rFonts w:ascii="Corbel" w:hAnsi="Corbel"/>
          <w:sz w:val="20"/>
          <w:szCs w:val="20"/>
        </w:rPr>
        <w:t>3</w:t>
      </w:r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EUB</w:t>
            </w:r>
            <w:proofErr w:type="spellEnd"/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2130C74" w:rsidR="008E63CC" w:rsidRPr="00151A24" w:rsidRDefault="00151A24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51A2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7A3B22">
        <w:rPr>
          <w:rFonts w:ascii="Corbel" w:hAnsi="Corbel"/>
          <w:sz w:val="24"/>
          <w:szCs w:val="24"/>
        </w:rPr>
        <w:t>ECTS</w:t>
      </w:r>
      <w:proofErr w:type="spellEnd"/>
      <w:r w:rsidRPr="007A3B22">
        <w:rPr>
          <w:rFonts w:ascii="Corbel" w:hAnsi="Corbel"/>
          <w:sz w:val="24"/>
          <w:szCs w:val="24"/>
        </w:rPr>
        <w:t xml:space="preserve">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Wykł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Konw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Sem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Prakt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7A3B2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E63CC" w:rsidRPr="007A3B22" w14:paraId="33A04822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1125EA65" w:rsidR="008E63CC" w:rsidRPr="007A3B22" w:rsidRDefault="00151A24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56648EEB" w:rsidR="008E63CC" w:rsidRPr="007A3B22" w:rsidRDefault="00151A24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Pr="00A17DF7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A17DF7">
        <w:rPr>
          <w:rStyle w:val="normaltextrun"/>
          <w:rFonts w:ascii="Corbel" w:hAnsi="Corbel" w:cs="Segoe UI"/>
        </w:rPr>
        <w:sym w:font="Wingdings" w:char="F0FE"/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proofErr w:type="spellStart"/>
      <w:r w:rsidRPr="00A17DF7">
        <w:rPr>
          <w:rStyle w:val="spellingerror"/>
          <w:rFonts w:ascii="Corbel" w:hAnsi="Corbel"/>
        </w:rPr>
        <w:t>Teams</w:t>
      </w:r>
      <w:proofErr w:type="spellEnd"/>
      <w:r w:rsidRPr="00A17DF7">
        <w:rPr>
          <w:rStyle w:val="spellingerror"/>
          <w:rFonts w:ascii="Corbel" w:hAnsi="Corbel"/>
        </w:rPr>
        <w:t>)</w:t>
      </w:r>
      <w:r w:rsidRPr="00A17D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7C6C32EC" w14:textId="77777777" w:rsidR="008E63CC" w:rsidRPr="007A3B22" w:rsidRDefault="00C12CCB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DEA758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717BE16A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046C7C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847D53">
        <w:rPr>
          <w:rFonts w:ascii="Corbel" w:hAnsi="Corbel"/>
          <w:szCs w:val="24"/>
        </w:rPr>
        <w:t>ECTS</w:t>
      </w:r>
      <w:proofErr w:type="spellEnd"/>
      <w:r w:rsidRPr="00847D53">
        <w:rPr>
          <w:rFonts w:ascii="Corbel" w:hAnsi="Corbel"/>
          <w:szCs w:val="24"/>
        </w:rPr>
        <w:t xml:space="preserve">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77777777" w:rsidR="008E63CC" w:rsidRPr="007A3B22" w:rsidRDefault="008E63CC" w:rsidP="000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279C45B9" w:rsidR="008E63CC" w:rsidRPr="007A3B22" w:rsidRDefault="00151A2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A3B22" w:rsidRPr="007A3B22" w14:paraId="081A74B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3B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3B2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54051BBA" w:rsidR="008E63CC" w:rsidRPr="007A3B22" w:rsidRDefault="00151A2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7A3B22" w:rsidRPr="007A3B22" w14:paraId="54A0DEC8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A3B2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 xml:space="preserve">* Należy uwzględnić, że 1 pkt </w:t>
      </w:r>
      <w:proofErr w:type="spellStart"/>
      <w:r w:rsidRPr="007A3B22">
        <w:rPr>
          <w:rFonts w:ascii="Corbel" w:hAnsi="Corbel"/>
          <w:b w:val="0"/>
          <w:i/>
          <w:szCs w:val="24"/>
        </w:rPr>
        <w:t>ECTS</w:t>
      </w:r>
      <w:proofErr w:type="spellEnd"/>
      <w:r w:rsidRPr="007A3B22">
        <w:rPr>
          <w:rFonts w:ascii="Corbel" w:hAnsi="Corbel"/>
          <w:b w:val="0"/>
          <w:i/>
          <w:szCs w:val="24"/>
        </w:rPr>
        <w:t xml:space="preserve">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4234906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proofErr w:type="spellStart"/>
            <w:r w:rsidRPr="2857B850">
              <w:rPr>
                <w:rFonts w:ascii="Corbel" w:hAnsi="Corbel"/>
                <w:b w:val="0"/>
                <w:smallCaps w:val="0"/>
                <w:sz w:val="22"/>
              </w:rPr>
              <w:t>M.Grzebyk</w:t>
            </w:r>
            <w:proofErr w:type="spellEnd"/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21D3E"/>
    <w:rsid w:val="00046C7C"/>
    <w:rsid w:val="00086A11"/>
    <w:rsid w:val="00094AA4"/>
    <w:rsid w:val="000B3543"/>
    <w:rsid w:val="00110BCE"/>
    <w:rsid w:val="00151A24"/>
    <w:rsid w:val="0018650A"/>
    <w:rsid w:val="001A2C52"/>
    <w:rsid w:val="001E4A37"/>
    <w:rsid w:val="002924D9"/>
    <w:rsid w:val="002B3FF4"/>
    <w:rsid w:val="002C3363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335CE"/>
    <w:rsid w:val="00653AF5"/>
    <w:rsid w:val="0068091C"/>
    <w:rsid w:val="00681CF9"/>
    <w:rsid w:val="006C1B19"/>
    <w:rsid w:val="00733096"/>
    <w:rsid w:val="007469FB"/>
    <w:rsid w:val="0075603C"/>
    <w:rsid w:val="007721D1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17DF7"/>
    <w:rsid w:val="00A42AD5"/>
    <w:rsid w:val="00A5179C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A18AB"/>
    <w:rsid w:val="00DD3A5F"/>
    <w:rsid w:val="00DE0815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E4590F4"/>
    <w:rsid w:val="34F3C7CE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DE0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8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81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81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8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07060-8F80-4CDA-8FF6-2C13565BE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942</Words>
  <Characters>5653</Characters>
  <Application>Microsoft Office Word</Application>
  <DocSecurity>0</DocSecurity>
  <Lines>47</Lines>
  <Paragraphs>13</Paragraphs>
  <ScaleCrop>false</ScaleCrop>
  <Company>Hewlett-Packard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Sekcja Jakości i Akr. KNS</cp:lastModifiedBy>
  <cp:revision>19</cp:revision>
  <dcterms:created xsi:type="dcterms:W3CDTF">2020-11-14T19:25:00Z</dcterms:created>
  <dcterms:modified xsi:type="dcterms:W3CDTF">2021-09-03T10:31:00Z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