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A39FD5" w14:textId="77777777" w:rsidR="000E7716" w:rsidRDefault="000E7716" w:rsidP="000E7716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  <w:r w:rsidRPr="00C50DF5">
        <w:rPr>
          <w:rFonts w:ascii="Corbel" w:hAnsi="Corbel"/>
          <w:bCs/>
          <w:i/>
        </w:rPr>
        <w:t>Załącznik nr 1.5 do Zarządzenia Rektora UR  nr 12/2019</w:t>
      </w:r>
    </w:p>
    <w:p w14:paraId="5B5ACF7C" w14:textId="70BC5959" w:rsidR="00B611A5" w:rsidRPr="009C54AE" w:rsidRDefault="00B611A5" w:rsidP="005009B4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5D6BA2A" w14:textId="498F0AB6" w:rsidR="00B611A5" w:rsidRPr="005320A0" w:rsidRDefault="00B611A5" w:rsidP="005009B4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="00E2572B">
        <w:rPr>
          <w:rFonts w:ascii="Corbel" w:hAnsi="Corbel"/>
          <w:i/>
          <w:smallCaps/>
          <w:sz w:val="24"/>
          <w:szCs w:val="24"/>
        </w:rPr>
        <w:t>2022-2025</w:t>
      </w:r>
    </w:p>
    <w:p w14:paraId="695943AD" w14:textId="2D3D9DAC" w:rsidR="00B611A5" w:rsidRPr="00D12BEC" w:rsidRDefault="00934202" w:rsidP="00D77C3A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 xml:space="preserve">Rok akademicki 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3</w:t>
      </w:r>
      <w:r w:rsidR="00424F45">
        <w:rPr>
          <w:rFonts w:ascii="Corbel" w:hAnsi="Corbel" w:cs="Corbel"/>
          <w:sz w:val="20"/>
          <w:szCs w:val="20"/>
        </w:rPr>
        <w:t>/</w:t>
      </w:r>
      <w:r w:rsidR="00B611A5" w:rsidRPr="00D12BEC">
        <w:rPr>
          <w:rFonts w:ascii="Corbel" w:hAnsi="Corbel" w:cs="Corbel"/>
          <w:sz w:val="20"/>
          <w:szCs w:val="20"/>
        </w:rPr>
        <w:t>202</w:t>
      </w:r>
      <w:r w:rsidR="00E2572B">
        <w:rPr>
          <w:rFonts w:ascii="Corbel" w:hAnsi="Corbel" w:cs="Corbel"/>
          <w:sz w:val="20"/>
          <w:szCs w:val="20"/>
        </w:rPr>
        <w:t>4</w:t>
      </w:r>
    </w:p>
    <w:p w14:paraId="20863EBB" w14:textId="77777777" w:rsidR="00B611A5" w:rsidRPr="009C54AE" w:rsidRDefault="00B611A5" w:rsidP="005009B4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59216193" w14:textId="77777777" w:rsidR="00B611A5" w:rsidRPr="009C78D6" w:rsidRDefault="00B611A5" w:rsidP="005009B4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611A5" w:rsidRPr="009C54AE" w14:paraId="1CD75D31" w14:textId="77777777" w:rsidTr="000E7716">
        <w:tc>
          <w:tcPr>
            <w:tcW w:w="2694" w:type="dxa"/>
            <w:vAlign w:val="center"/>
          </w:tcPr>
          <w:p w14:paraId="70A935D7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6837976" w14:textId="77777777" w:rsidR="00B611A5" w:rsidRPr="000E7716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0E771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jednostek sektora publicznego</w:t>
            </w:r>
          </w:p>
        </w:tc>
      </w:tr>
      <w:tr w:rsidR="00B611A5" w:rsidRPr="009C54AE" w14:paraId="41672023" w14:textId="77777777" w:rsidTr="000E7716">
        <w:tc>
          <w:tcPr>
            <w:tcW w:w="2694" w:type="dxa"/>
            <w:vAlign w:val="center"/>
          </w:tcPr>
          <w:p w14:paraId="0D1ED28E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805C70" w14:textId="52E3915F" w:rsidR="00B611A5" w:rsidRPr="000E7716" w:rsidRDefault="00934202" w:rsidP="00455066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E/I/EiZSP/C.2</w:t>
            </w:r>
          </w:p>
        </w:tc>
      </w:tr>
      <w:tr w:rsidR="00B611A5" w:rsidRPr="009C54AE" w14:paraId="51696FAB" w14:textId="77777777" w:rsidTr="000E7716">
        <w:tc>
          <w:tcPr>
            <w:tcW w:w="2694" w:type="dxa"/>
            <w:vAlign w:val="center"/>
          </w:tcPr>
          <w:p w14:paraId="2C48A47A" w14:textId="77777777" w:rsidR="00B611A5" w:rsidRPr="00A40AEA" w:rsidRDefault="00B611A5" w:rsidP="0045506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9DA93EA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611A5" w:rsidRPr="009C54AE" w14:paraId="65F3776E" w14:textId="77777777" w:rsidTr="000E7716">
        <w:tc>
          <w:tcPr>
            <w:tcW w:w="2694" w:type="dxa"/>
            <w:vAlign w:val="center"/>
          </w:tcPr>
          <w:p w14:paraId="54EDD01B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55859C" w14:textId="7F46C4C2" w:rsidR="00B611A5" w:rsidRPr="00A40AEA" w:rsidRDefault="006F6A9F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611A5" w:rsidRPr="009C54AE" w14:paraId="460256D1" w14:textId="77777777" w:rsidTr="000E7716">
        <w:tc>
          <w:tcPr>
            <w:tcW w:w="2694" w:type="dxa"/>
            <w:vAlign w:val="center"/>
          </w:tcPr>
          <w:p w14:paraId="483994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2F308" w14:textId="77777777" w:rsidR="00B611A5" w:rsidRPr="00A40AEA" w:rsidRDefault="00B611A5" w:rsidP="00455066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Ekonomia</w:t>
            </w:r>
          </w:p>
        </w:tc>
      </w:tr>
      <w:tr w:rsidR="00B611A5" w:rsidRPr="009C54AE" w14:paraId="074BEEA6" w14:textId="77777777" w:rsidTr="000E7716">
        <w:tc>
          <w:tcPr>
            <w:tcW w:w="2694" w:type="dxa"/>
            <w:vAlign w:val="center"/>
          </w:tcPr>
          <w:p w14:paraId="62C972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544465B" w14:textId="6959BF72" w:rsidR="00B611A5" w:rsidRPr="00A40AEA" w:rsidRDefault="006F6A9F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Pierwszego stopnia</w:t>
            </w:r>
          </w:p>
        </w:tc>
      </w:tr>
      <w:tr w:rsidR="00B611A5" w:rsidRPr="009C54AE" w14:paraId="52A62C3B" w14:textId="77777777" w:rsidTr="000E7716">
        <w:tc>
          <w:tcPr>
            <w:tcW w:w="2694" w:type="dxa"/>
            <w:vAlign w:val="center"/>
          </w:tcPr>
          <w:p w14:paraId="070F04C4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3677FE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611A5" w:rsidRPr="009C54AE" w14:paraId="6CA3606D" w14:textId="77777777" w:rsidTr="000E7716">
        <w:tc>
          <w:tcPr>
            <w:tcW w:w="2694" w:type="dxa"/>
            <w:vAlign w:val="center"/>
          </w:tcPr>
          <w:p w14:paraId="4BFBAEE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726542" w14:textId="3ACD4E17" w:rsidR="00B611A5" w:rsidRPr="00A40AEA" w:rsidRDefault="00E21860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B611A5"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B611A5" w:rsidRPr="009C54AE" w14:paraId="4CFE467E" w14:textId="77777777" w:rsidTr="000E7716">
        <w:tc>
          <w:tcPr>
            <w:tcW w:w="2694" w:type="dxa"/>
            <w:vAlign w:val="center"/>
          </w:tcPr>
          <w:p w14:paraId="52B7326D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16711D" w14:textId="61BAC5B6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93420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611A5" w:rsidRPr="009C54AE" w14:paraId="6E193BBC" w14:textId="77777777" w:rsidTr="000E7716">
        <w:tc>
          <w:tcPr>
            <w:tcW w:w="2694" w:type="dxa"/>
            <w:vAlign w:val="center"/>
          </w:tcPr>
          <w:p w14:paraId="51E32B43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2FF7ADD" w14:textId="2279C4C0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B611A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B611A5" w:rsidRPr="009C54AE" w14:paraId="5DBE4709" w14:textId="77777777" w:rsidTr="000E7716">
        <w:tc>
          <w:tcPr>
            <w:tcW w:w="2694" w:type="dxa"/>
            <w:vAlign w:val="center"/>
          </w:tcPr>
          <w:p w14:paraId="59159820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C79F525" w14:textId="77777777" w:rsidR="00B611A5" w:rsidRPr="00A40AEA" w:rsidRDefault="00B611A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611A5" w:rsidRPr="00EF5884" w14:paraId="38D6D674" w14:textId="77777777" w:rsidTr="000E7716">
        <w:tc>
          <w:tcPr>
            <w:tcW w:w="2694" w:type="dxa"/>
            <w:vAlign w:val="center"/>
          </w:tcPr>
          <w:p w14:paraId="67B7FFC1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8DB8700" w14:textId="77777777" w:rsidR="00B611A5" w:rsidRPr="00A40AEA" w:rsidRDefault="00B611A5" w:rsidP="00455066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B611A5" w:rsidRPr="009C54AE" w14:paraId="0D2084DF" w14:textId="77777777" w:rsidTr="000E7716">
        <w:tc>
          <w:tcPr>
            <w:tcW w:w="2694" w:type="dxa"/>
            <w:vAlign w:val="center"/>
          </w:tcPr>
          <w:p w14:paraId="24EDF69C" w14:textId="77777777" w:rsidR="00B611A5" w:rsidRPr="00A40AEA" w:rsidRDefault="00B611A5" w:rsidP="0045506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A40AE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81A89AD" w14:textId="4E21D118" w:rsidR="00B611A5" w:rsidRPr="00A40AEA" w:rsidRDefault="00934F85" w:rsidP="0045506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A40AEA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</w:tbl>
    <w:p w14:paraId="33961C61" w14:textId="3B4EC2A6" w:rsidR="00B611A5" w:rsidRDefault="000E7716" w:rsidP="000E7716">
      <w:pPr>
        <w:spacing w:after="0" w:line="240" w:lineRule="auto"/>
        <w:jc w:val="both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i/>
          <w:sz w:val="24"/>
          <w:szCs w:val="24"/>
        </w:rPr>
        <w:t xml:space="preserve">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20CB8603" w14:textId="77777777" w:rsidR="00B611A5" w:rsidRPr="009C54AE" w:rsidRDefault="00B611A5" w:rsidP="00C9412C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3AE0F396" w14:textId="77777777" w:rsidR="00B611A5" w:rsidRPr="00123B7B" w:rsidRDefault="00B611A5" w:rsidP="00C9412C">
      <w:pPr>
        <w:pStyle w:val="Podpunkty"/>
        <w:ind w:left="284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1.1.Formy zajęć dydaktycznych, wymiar godzin i punktów ECTS </w:t>
      </w:r>
    </w:p>
    <w:p w14:paraId="62ED9ACE" w14:textId="77777777" w:rsidR="00B611A5" w:rsidRPr="00123B7B" w:rsidRDefault="00B611A5" w:rsidP="00C9412C">
      <w:pPr>
        <w:pStyle w:val="Podpunkty"/>
        <w:ind w:left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8"/>
        <w:gridCol w:w="932"/>
        <w:gridCol w:w="819"/>
        <w:gridCol w:w="851"/>
        <w:gridCol w:w="824"/>
        <w:gridCol w:w="835"/>
        <w:gridCol w:w="804"/>
        <w:gridCol w:w="969"/>
        <w:gridCol w:w="1230"/>
        <w:gridCol w:w="1718"/>
      </w:tblGrid>
      <w:tr w:rsidR="00B611A5" w:rsidRPr="00123B7B" w14:paraId="1D7326C9" w14:textId="77777777">
        <w:tc>
          <w:tcPr>
            <w:tcW w:w="862" w:type="dxa"/>
          </w:tcPr>
          <w:p w14:paraId="5058BE7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Semestr</w:t>
            </w:r>
          </w:p>
          <w:p w14:paraId="778F5E6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(nr)</w:t>
            </w:r>
          </w:p>
        </w:tc>
        <w:tc>
          <w:tcPr>
            <w:tcW w:w="933" w:type="dxa"/>
            <w:vAlign w:val="center"/>
          </w:tcPr>
          <w:p w14:paraId="52247AD7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Wykł.</w:t>
            </w:r>
          </w:p>
        </w:tc>
        <w:tc>
          <w:tcPr>
            <w:tcW w:w="820" w:type="dxa"/>
            <w:vAlign w:val="center"/>
          </w:tcPr>
          <w:p w14:paraId="5C896E95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F643A39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Konw.</w:t>
            </w:r>
          </w:p>
        </w:tc>
        <w:tc>
          <w:tcPr>
            <w:tcW w:w="825" w:type="dxa"/>
            <w:vAlign w:val="center"/>
          </w:tcPr>
          <w:p w14:paraId="631A6C5B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Lab.</w:t>
            </w:r>
          </w:p>
        </w:tc>
        <w:tc>
          <w:tcPr>
            <w:tcW w:w="836" w:type="dxa"/>
            <w:vAlign w:val="center"/>
          </w:tcPr>
          <w:p w14:paraId="07BBBC20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Sem.</w:t>
            </w:r>
          </w:p>
        </w:tc>
        <w:tc>
          <w:tcPr>
            <w:tcW w:w="805" w:type="dxa"/>
            <w:vAlign w:val="center"/>
          </w:tcPr>
          <w:p w14:paraId="482CBBA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ZP</w:t>
            </w:r>
          </w:p>
        </w:tc>
        <w:tc>
          <w:tcPr>
            <w:tcW w:w="970" w:type="dxa"/>
            <w:vAlign w:val="center"/>
          </w:tcPr>
          <w:p w14:paraId="772850C1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Prakt.</w:t>
            </w:r>
          </w:p>
        </w:tc>
        <w:tc>
          <w:tcPr>
            <w:tcW w:w="1231" w:type="dxa"/>
            <w:vAlign w:val="center"/>
          </w:tcPr>
          <w:p w14:paraId="60AF00CF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sz w:val="22"/>
                <w:szCs w:val="22"/>
                <w:lang w:eastAsia="en-US"/>
              </w:rPr>
              <w:t>Inne (jakie?)</w:t>
            </w:r>
          </w:p>
        </w:tc>
        <w:tc>
          <w:tcPr>
            <w:tcW w:w="1721" w:type="dxa"/>
            <w:vAlign w:val="center"/>
          </w:tcPr>
          <w:p w14:paraId="34BEF96A" w14:textId="77777777" w:rsidR="00B611A5" w:rsidRPr="00123B7B" w:rsidRDefault="00B611A5" w:rsidP="00274CFD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</w:pPr>
            <w:r w:rsidRPr="00123B7B">
              <w:rPr>
                <w:rFonts w:ascii="Corbel" w:hAnsi="Corbel" w:cs="Corbel"/>
                <w:b/>
                <w:bCs/>
                <w:sz w:val="22"/>
                <w:szCs w:val="22"/>
                <w:lang w:eastAsia="en-US"/>
              </w:rPr>
              <w:t>Liczba pkt ECTS</w:t>
            </w:r>
          </w:p>
        </w:tc>
      </w:tr>
      <w:tr w:rsidR="00B611A5" w:rsidRPr="00123B7B" w14:paraId="3DF92587" w14:textId="77777777">
        <w:trPr>
          <w:trHeight w:val="453"/>
        </w:trPr>
        <w:tc>
          <w:tcPr>
            <w:tcW w:w="862" w:type="dxa"/>
          </w:tcPr>
          <w:p w14:paraId="65A3A73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  <w:tc>
          <w:tcPr>
            <w:tcW w:w="933" w:type="dxa"/>
            <w:vAlign w:val="center"/>
          </w:tcPr>
          <w:p w14:paraId="5253AE2B" w14:textId="47266999" w:rsidR="00B611A5" w:rsidRPr="00123B7B" w:rsidRDefault="00E21860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20" w:type="dxa"/>
            <w:vAlign w:val="center"/>
          </w:tcPr>
          <w:p w14:paraId="6F4D8DBF" w14:textId="6506753E" w:rsidR="00B611A5" w:rsidRPr="00123B7B" w:rsidRDefault="00E21860" w:rsidP="00E21860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18</w:t>
            </w:r>
          </w:p>
        </w:tc>
        <w:tc>
          <w:tcPr>
            <w:tcW w:w="851" w:type="dxa"/>
            <w:vAlign w:val="center"/>
          </w:tcPr>
          <w:p w14:paraId="0D43C855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14:paraId="7C6926B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690013E6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5" w:type="dxa"/>
            <w:vAlign w:val="center"/>
          </w:tcPr>
          <w:p w14:paraId="4308467B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70" w:type="dxa"/>
            <w:vAlign w:val="center"/>
          </w:tcPr>
          <w:p w14:paraId="2F84B40D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31" w:type="dxa"/>
            <w:vAlign w:val="center"/>
          </w:tcPr>
          <w:p w14:paraId="10FC289F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721" w:type="dxa"/>
            <w:vAlign w:val="center"/>
          </w:tcPr>
          <w:p w14:paraId="34AF23B2" w14:textId="77777777" w:rsidR="00B611A5" w:rsidRPr="00123B7B" w:rsidRDefault="00B611A5" w:rsidP="00274CFD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1A2178EC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1128B726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6C9275A" w14:textId="77777777" w:rsidR="00F63183" w:rsidRDefault="00F63183" w:rsidP="00F63183">
      <w:pPr>
        <w:pStyle w:val="paragraph"/>
        <w:spacing w:before="0" w:beforeAutospacing="0" w:after="0" w:afterAutospacing="0"/>
        <w:ind w:left="426"/>
        <w:textAlignment w:val="baseline"/>
        <w:rPr>
          <w:rFonts w:ascii="Segoe UI" w:hAnsi="Segoe UI" w:cs="Segoe UI"/>
          <w:b/>
          <w:bCs/>
          <w:smallCaps/>
          <w:sz w:val="18"/>
          <w:szCs w:val="18"/>
        </w:rPr>
      </w:pPr>
      <w:r>
        <w:rPr>
          <w:rStyle w:val="normaltextrun"/>
          <w:rFonts w:ascii="Wingdings" w:hAnsi="Wingdings" w:cs="Segoe UI"/>
          <w:sz w:val="28"/>
          <w:szCs w:val="28"/>
        </w:rPr>
        <w:sym w:font="Wingdings" w:char="F0FE"/>
      </w:r>
      <w:r>
        <w:rPr>
          <w:rStyle w:val="normaltextrun"/>
          <w:rFonts w:ascii="Corbel" w:hAnsi="Corbel" w:cs="Segoe UI"/>
          <w:sz w:val="28"/>
          <w:szCs w:val="28"/>
        </w:rPr>
        <w:t> </w:t>
      </w:r>
      <w:r>
        <w:rPr>
          <w:rStyle w:val="normaltextrun"/>
          <w:rFonts w:ascii="Corbel" w:hAnsi="Corbel" w:cs="Segoe UI"/>
        </w:rPr>
        <w:t>zajęcia w formie tradycyjnej (lub zdalnie z wykorzystaniem platformy Ms </w:t>
      </w:r>
      <w:r>
        <w:rPr>
          <w:rStyle w:val="spellingerror"/>
          <w:rFonts w:ascii="Corbel" w:hAnsi="Corbel" w:cs="Segoe UI"/>
        </w:rPr>
        <w:t>Teams)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4DF79085" w14:textId="77777777" w:rsidR="00F63183" w:rsidRDefault="00F63183" w:rsidP="00F6318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</w:rPr>
      </w:pPr>
      <w:r>
        <w:rPr>
          <w:rStyle w:val="normaltextrun"/>
          <w:rFonts w:ascii="MS Gothic" w:eastAsia="MS Gothic" w:hAnsi="MS Gothic" w:cs="Segoe UI" w:hint="eastAsia"/>
          <w:smallCaps/>
        </w:rPr>
        <w:t>☐</w:t>
      </w:r>
      <w:r>
        <w:rPr>
          <w:rStyle w:val="normaltextrun"/>
          <w:rFonts w:ascii="Corbel" w:hAnsi="Corbel" w:cs="Segoe UI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</w:rPr>
        <w:t> </w:t>
      </w:r>
    </w:p>
    <w:p w14:paraId="551EFF5E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2137A86B" w14:textId="3480C83B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1.3 Forma zaliczenia przedmiotu (z toku) </w:t>
      </w: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6F44E098" w14:textId="77777777" w:rsidR="00B611A5" w:rsidRPr="00123B7B" w:rsidRDefault="00B611A5" w:rsidP="00C9412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09558D3" w14:textId="4C61B872" w:rsidR="00165B5C" w:rsidRPr="00123B7B" w:rsidRDefault="00165B5C" w:rsidP="313AC7F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>
        <w:rPr>
          <w:rFonts w:ascii="Corbel" w:hAnsi="Corbel"/>
          <w:b w:val="0"/>
        </w:rPr>
        <w:t>Wykłady egzamin</w:t>
      </w:r>
      <w:r>
        <w:rPr>
          <w:rFonts w:ascii="Corbel" w:hAnsi="Corbel"/>
          <w:b w:val="0"/>
        </w:rPr>
        <w:br/>
        <w:t>Ćwiczenia zaliczenie z oceną</w:t>
      </w:r>
    </w:p>
    <w:p w14:paraId="18E15C9C" w14:textId="77777777" w:rsidR="00B611A5" w:rsidRPr="00123B7B" w:rsidRDefault="00B611A5" w:rsidP="00C9412C">
      <w:pPr>
        <w:pStyle w:val="Punktygwne"/>
        <w:spacing w:before="0" w:after="0"/>
        <w:ind w:left="9765"/>
        <w:rPr>
          <w:rFonts w:ascii="Corbel" w:hAnsi="Corbel" w:cs="Corbel"/>
          <w:smallCaps w:val="0"/>
          <w:sz w:val="22"/>
          <w:szCs w:val="22"/>
        </w:rPr>
      </w:pPr>
      <w:bookmarkStart w:id="0" w:name="_GoBack"/>
      <w:bookmarkEnd w:id="0"/>
    </w:p>
    <w:p w14:paraId="18AA95A8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2.Wymagania wstępne </w:t>
      </w:r>
    </w:p>
    <w:p w14:paraId="633BFE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1F7F568A" w14:textId="77777777">
        <w:trPr>
          <w:trHeight w:val="1082"/>
        </w:trPr>
        <w:tc>
          <w:tcPr>
            <w:tcW w:w="9670" w:type="dxa"/>
          </w:tcPr>
          <w:p w14:paraId="0F99EF55" w14:textId="77777777" w:rsidR="00B611A5" w:rsidRPr="00123B7B" w:rsidRDefault="00B611A5" w:rsidP="00C9412C">
            <w:pPr>
              <w:pStyle w:val="Punktygwne"/>
              <w:spacing w:before="40" w:after="4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Pozytywne zaliczenie z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>Mikro - Makroekonomii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wskazujące na posiadanie podstawowej wiedzy ekonomicznej (problemy, kategorie, prawa). Pozytywne zaliczenie przedmiotu </w:t>
            </w:r>
            <w:r w:rsidRPr="00123B7B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Finanse publiczne i rynki finansowe 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oraz umiejętności interpretacji zjawisk ekonomicznych.</w:t>
            </w:r>
          </w:p>
        </w:tc>
      </w:tr>
    </w:tbl>
    <w:p w14:paraId="7327AA9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53C98255" w14:textId="1896D733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 xml:space="preserve">3. cele, efekty </w:t>
      </w:r>
      <w:r w:rsidR="00934F85">
        <w:rPr>
          <w:rFonts w:ascii="Corbel" w:hAnsi="Corbel" w:cs="Corbel"/>
          <w:sz w:val="22"/>
          <w:szCs w:val="22"/>
        </w:rPr>
        <w:t>uczenia się</w:t>
      </w:r>
      <w:r w:rsidRPr="00123B7B">
        <w:rPr>
          <w:rFonts w:ascii="Corbel" w:hAnsi="Corbel" w:cs="Corbel"/>
          <w:sz w:val="22"/>
          <w:szCs w:val="22"/>
        </w:rPr>
        <w:t xml:space="preserve"> , treści Programowe i stosowane metody Dydaktyczne</w:t>
      </w:r>
    </w:p>
    <w:p w14:paraId="7499D85C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4D0E2753" w14:textId="0299BB28" w:rsidR="00B611A5" w:rsidRPr="00123B7B" w:rsidRDefault="00B611A5" w:rsidP="00C9412C">
      <w:pPr>
        <w:pStyle w:val="Podpunkty"/>
        <w:rPr>
          <w:rFonts w:ascii="Corbel" w:hAnsi="Corbel" w:cs="Corbel"/>
          <w:sz w:val="22"/>
          <w:szCs w:val="22"/>
        </w:rPr>
      </w:pPr>
      <w:r w:rsidRPr="00123B7B">
        <w:rPr>
          <w:rFonts w:ascii="Corbel" w:hAnsi="Corbel" w:cs="Corbel"/>
          <w:sz w:val="22"/>
          <w:szCs w:val="22"/>
        </w:rPr>
        <w:t>3.1 Cele przedmiotu</w:t>
      </w:r>
    </w:p>
    <w:p w14:paraId="33077631" w14:textId="77777777" w:rsidR="00B611A5" w:rsidRPr="00123B7B" w:rsidRDefault="00B611A5" w:rsidP="00C9412C">
      <w:pPr>
        <w:pStyle w:val="Podpunkty"/>
        <w:rPr>
          <w:rFonts w:ascii="Corbel" w:hAnsi="Corbel" w:cs="Corbel"/>
          <w:b w:val="0"/>
          <w:bCs w:val="0"/>
          <w:i/>
          <w:iCs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B611A5" w:rsidRPr="00123B7B" w14:paraId="32D7F7CE" w14:textId="77777777">
        <w:tc>
          <w:tcPr>
            <w:tcW w:w="851" w:type="dxa"/>
            <w:vAlign w:val="center"/>
          </w:tcPr>
          <w:p w14:paraId="404E03E0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C1</w:t>
            </w:r>
          </w:p>
        </w:tc>
        <w:tc>
          <w:tcPr>
            <w:tcW w:w="8819" w:type="dxa"/>
          </w:tcPr>
          <w:p w14:paraId="0BF78C8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Pogłębienie wiedzy studenta na temat podstawowych kategoriami i zasadami finansów sektora publicznego. Zapoznanie z procesami finansowymi zachodzącymi w sektorze publicznym oraz zasadami gospodarki finansowej podmiotów sektora publicznego.</w:t>
            </w:r>
          </w:p>
        </w:tc>
      </w:tr>
      <w:tr w:rsidR="00B611A5" w:rsidRPr="00123B7B" w14:paraId="17DDD786" w14:textId="77777777">
        <w:tc>
          <w:tcPr>
            <w:tcW w:w="851" w:type="dxa"/>
            <w:vAlign w:val="center"/>
          </w:tcPr>
          <w:p w14:paraId="224A79F9" w14:textId="77777777" w:rsidR="00B611A5" w:rsidRPr="00123B7B" w:rsidRDefault="00B611A5" w:rsidP="00857315">
            <w:pPr>
              <w:pStyle w:val="Podpunkty"/>
              <w:spacing w:before="60" w:after="60"/>
              <w:ind w:left="0"/>
              <w:jc w:val="left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C2</w:t>
            </w:r>
          </w:p>
        </w:tc>
        <w:tc>
          <w:tcPr>
            <w:tcW w:w="8819" w:type="dxa"/>
          </w:tcPr>
          <w:p w14:paraId="1E35FAA9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zasad, norm i metod organizacji budżetu na szczeblu centralnym i samorządowym w różnych formach organizacyjno-prawnych sektora publicznego.</w:t>
            </w:r>
          </w:p>
        </w:tc>
      </w:tr>
      <w:tr w:rsidR="00B611A5" w:rsidRPr="00123B7B" w14:paraId="17600C4F" w14:textId="77777777">
        <w:tc>
          <w:tcPr>
            <w:tcW w:w="851" w:type="dxa"/>
            <w:vAlign w:val="center"/>
          </w:tcPr>
          <w:p w14:paraId="34A1F703" w14:textId="77777777" w:rsidR="00B611A5" w:rsidRPr="00123B7B" w:rsidRDefault="00B611A5" w:rsidP="00857315">
            <w:pPr>
              <w:pStyle w:val="Cele"/>
              <w:spacing w:before="60" w:after="6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123B7B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819" w:type="dxa"/>
          </w:tcPr>
          <w:p w14:paraId="448E04EF" w14:textId="77777777" w:rsidR="00B611A5" w:rsidRPr="00123B7B" w:rsidRDefault="00B611A5" w:rsidP="00857315">
            <w:pPr>
              <w:spacing w:before="60" w:after="6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Dostarczenie wiedzy i umiejętności w zakresie tworzenia budżetów i innych planów finansowych podmiotów sektora publicznego. Dostarczenie wiedzy potrzebnej do analiz i oceny tendencji ekonomicznych i finansowych w sektorze publicznym.</w:t>
            </w:r>
          </w:p>
        </w:tc>
      </w:tr>
    </w:tbl>
    <w:p w14:paraId="5AC4F1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</w:p>
    <w:p w14:paraId="5062CB23" w14:textId="5D967AC4" w:rsidR="00B611A5" w:rsidRPr="00123B7B" w:rsidRDefault="00B611A5" w:rsidP="00C9412C">
      <w:pPr>
        <w:spacing w:after="0" w:line="240" w:lineRule="auto"/>
        <w:ind w:left="426"/>
        <w:rPr>
          <w:rFonts w:ascii="Corbel" w:hAnsi="Corbel" w:cs="Corbel"/>
        </w:rPr>
      </w:pPr>
      <w:r w:rsidRPr="00123B7B">
        <w:rPr>
          <w:rFonts w:ascii="Corbel" w:hAnsi="Corbel" w:cs="Corbel"/>
          <w:b/>
          <w:bCs/>
        </w:rPr>
        <w:t xml:space="preserve">3.2 Efekty </w:t>
      </w:r>
      <w:r w:rsidR="000E7716">
        <w:rPr>
          <w:rFonts w:ascii="Corbel" w:hAnsi="Corbel" w:cs="Corbel"/>
          <w:b/>
          <w:bCs/>
        </w:rPr>
        <w:t>uczenia się</w:t>
      </w:r>
      <w:r w:rsidRPr="00123B7B">
        <w:rPr>
          <w:rFonts w:ascii="Corbel" w:hAnsi="Corbel" w:cs="Corbel"/>
          <w:b/>
          <w:bCs/>
        </w:rPr>
        <w:t xml:space="preserve"> dla przedmiotu</w:t>
      </w:r>
    </w:p>
    <w:p w14:paraId="7917E33D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tbl>
      <w:tblPr>
        <w:tblW w:w="985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2"/>
        <w:gridCol w:w="5972"/>
        <w:gridCol w:w="2190"/>
      </w:tblGrid>
      <w:tr w:rsidR="00B611A5" w:rsidRPr="00123B7B" w14:paraId="03D57CFA" w14:textId="77777777">
        <w:trPr>
          <w:trHeight w:val="1322"/>
        </w:trPr>
        <w:tc>
          <w:tcPr>
            <w:tcW w:w="1692" w:type="dxa"/>
            <w:vAlign w:val="center"/>
          </w:tcPr>
          <w:p w14:paraId="2475A016" w14:textId="4005E39E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)</w:t>
            </w:r>
          </w:p>
        </w:tc>
        <w:tc>
          <w:tcPr>
            <w:tcW w:w="5972" w:type="dxa"/>
            <w:vAlign w:val="center"/>
          </w:tcPr>
          <w:p w14:paraId="4F8B2875" w14:textId="3069C06A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Treść efektu </w:t>
            </w:r>
            <w:r w:rsidR="00934F8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uczenia się</w:t>
            </w: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zdefiniowanego dla przedmiotu</w:t>
            </w:r>
          </w:p>
        </w:tc>
        <w:tc>
          <w:tcPr>
            <w:tcW w:w="2190" w:type="dxa"/>
            <w:vAlign w:val="center"/>
          </w:tcPr>
          <w:p w14:paraId="289C00C0" w14:textId="4912273B" w:rsidR="00B611A5" w:rsidRPr="00123B7B" w:rsidRDefault="00B611A5" w:rsidP="00274CF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Odniesienie do efektów  kierunkowych</w:t>
            </w:r>
          </w:p>
        </w:tc>
      </w:tr>
      <w:tr w:rsidR="00B611A5" w:rsidRPr="00123B7B" w14:paraId="3B5D6681" w14:textId="77777777">
        <w:tc>
          <w:tcPr>
            <w:tcW w:w="1692" w:type="dxa"/>
          </w:tcPr>
          <w:p w14:paraId="3028314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972" w:type="dxa"/>
          </w:tcPr>
          <w:p w14:paraId="10F73BF3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Student określa zwrotne i bezzwrotne źródła gromadzenia i wydatkowania środków finansowych w jednostkach sektora publicznego. Wskazuje powiązania pomiędzy dochodami i wydatkami sektora publicznego a procesami gospodarczymi i społecznymi. Rozpoznaje i ocenia zjawiska finansowe zachodzące w sektorze publicznym; rozumie zasady gospodarki finansowej podmiotów sektora publicznego</w:t>
            </w:r>
          </w:p>
        </w:tc>
        <w:tc>
          <w:tcPr>
            <w:tcW w:w="2190" w:type="dxa"/>
          </w:tcPr>
          <w:p w14:paraId="77C393DE" w14:textId="037A2A8E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</w:t>
            </w:r>
            <w:r w:rsidR="00D12BEC">
              <w:rPr>
                <w:rFonts w:ascii="Corbel" w:hAnsi="Corbel" w:cs="Corbel"/>
              </w:rPr>
              <w:t>1</w:t>
            </w:r>
          </w:p>
          <w:p w14:paraId="250CAD80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K_W07</w:t>
            </w:r>
          </w:p>
          <w:p w14:paraId="7268D918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127028C1" w14:textId="77777777">
        <w:tc>
          <w:tcPr>
            <w:tcW w:w="1692" w:type="dxa"/>
          </w:tcPr>
          <w:p w14:paraId="09323537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972" w:type="dxa"/>
          </w:tcPr>
          <w:p w14:paraId="663023FE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Zna podstawowe zasady, normy i koncepcje organizacji budżetu na szczeblu centralnym i samorządowym w różnych formach organizacyjno-prawnych sektora publicznego</w:t>
            </w:r>
          </w:p>
        </w:tc>
        <w:tc>
          <w:tcPr>
            <w:tcW w:w="2190" w:type="dxa"/>
          </w:tcPr>
          <w:p w14:paraId="5FE1BD22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K_W08</w:t>
            </w:r>
          </w:p>
          <w:p w14:paraId="7221B6D6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7AD2B71" w14:textId="77777777">
        <w:tc>
          <w:tcPr>
            <w:tcW w:w="1692" w:type="dxa"/>
          </w:tcPr>
          <w:p w14:paraId="73D8351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972" w:type="dxa"/>
          </w:tcPr>
          <w:p w14:paraId="48790640" w14:textId="77777777" w:rsidR="00B611A5" w:rsidRPr="00123B7B" w:rsidRDefault="00B611A5" w:rsidP="0084530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Pozyskuje i analizuje dane potrzebnych do tworzenia budżetów i innych planów finansowych podmiotów sektora publicznego.</w:t>
            </w:r>
          </w:p>
        </w:tc>
        <w:tc>
          <w:tcPr>
            <w:tcW w:w="2190" w:type="dxa"/>
          </w:tcPr>
          <w:p w14:paraId="65F191E6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K_U01</w:t>
            </w:r>
          </w:p>
          <w:p w14:paraId="7F771DC9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K_U03</w:t>
            </w:r>
          </w:p>
          <w:p w14:paraId="17BEA42E" w14:textId="77777777" w:rsidR="00B611A5" w:rsidRPr="00123B7B" w:rsidRDefault="00B611A5" w:rsidP="000E7716">
            <w:pPr>
              <w:spacing w:after="0" w:line="240" w:lineRule="auto"/>
              <w:jc w:val="center"/>
              <w:rPr>
                <w:rFonts w:ascii="Corbel" w:hAnsi="Corbel" w:cs="Corbel"/>
              </w:rPr>
            </w:pPr>
          </w:p>
        </w:tc>
      </w:tr>
      <w:tr w:rsidR="00B611A5" w:rsidRPr="00123B7B" w14:paraId="09C28062" w14:textId="77777777">
        <w:tc>
          <w:tcPr>
            <w:tcW w:w="1692" w:type="dxa"/>
          </w:tcPr>
          <w:p w14:paraId="19684068" w14:textId="77777777" w:rsidR="00B611A5" w:rsidRPr="00123B7B" w:rsidRDefault="00B611A5" w:rsidP="00B82C2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972" w:type="dxa"/>
          </w:tcPr>
          <w:p w14:paraId="4F7B8BA7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Analizuje i ocenia procesy i tendencje ekonomiczne i społeczne oraz i ich konsekwencje dla finansów w sektorze publicznym. Nabywa kompetencje do podejmowania decyzji finansowych w sektorze budżetowym.</w:t>
            </w:r>
          </w:p>
        </w:tc>
        <w:tc>
          <w:tcPr>
            <w:tcW w:w="2190" w:type="dxa"/>
          </w:tcPr>
          <w:p w14:paraId="51A97682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K_U06</w:t>
            </w:r>
          </w:p>
          <w:p w14:paraId="6D344831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  <w:tr w:rsidR="00B611A5" w:rsidRPr="00123B7B" w14:paraId="681A8076" w14:textId="77777777">
        <w:tc>
          <w:tcPr>
            <w:tcW w:w="1692" w:type="dxa"/>
          </w:tcPr>
          <w:p w14:paraId="05C3D764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972" w:type="dxa"/>
          </w:tcPr>
          <w:p w14:paraId="452ADC1D" w14:textId="77777777" w:rsidR="00B611A5" w:rsidRPr="00123B7B" w:rsidRDefault="00B611A5" w:rsidP="006137B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Posiada świadomość złożoności i współzależności wielu procesów w sferze gospodarki budżetowej i gospodarki realnej. Zachowuje krytycyzm i niezależność myślenia w ocenie analizowanych problemów.</w:t>
            </w:r>
          </w:p>
        </w:tc>
        <w:tc>
          <w:tcPr>
            <w:tcW w:w="2190" w:type="dxa"/>
          </w:tcPr>
          <w:p w14:paraId="184B14A3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K_K01</w:t>
            </w:r>
          </w:p>
          <w:p w14:paraId="13636B5D" w14:textId="77777777" w:rsidR="00B611A5" w:rsidRPr="00123B7B" w:rsidRDefault="00B611A5" w:rsidP="000E771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</w:p>
        </w:tc>
      </w:tr>
    </w:tbl>
    <w:p w14:paraId="5BBF191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4D335D1A" w14:textId="77777777" w:rsidR="00B611A5" w:rsidRPr="00123B7B" w:rsidRDefault="00B611A5" w:rsidP="005009B4">
      <w:pPr>
        <w:pStyle w:val="Podpunkty"/>
        <w:ind w:left="0"/>
        <w:rPr>
          <w:rFonts w:ascii="Corbel" w:hAnsi="Corbel" w:cs="Corbel"/>
          <w:b w:val="0"/>
          <w:bCs w:val="0"/>
          <w:sz w:val="22"/>
          <w:szCs w:val="22"/>
          <w:lang w:eastAsia="en-US"/>
        </w:rPr>
      </w:pPr>
    </w:p>
    <w:p w14:paraId="46879A0B" w14:textId="77777777" w:rsidR="00B611A5" w:rsidRPr="00123B7B" w:rsidRDefault="00B611A5" w:rsidP="005009B4">
      <w:pPr>
        <w:pStyle w:val="Akapitzlist1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123B7B">
        <w:rPr>
          <w:rFonts w:ascii="Corbel" w:hAnsi="Corbel" w:cs="Corbel"/>
          <w:b/>
          <w:bCs/>
        </w:rPr>
        <w:t xml:space="preserve">3.3 Treści programowe </w:t>
      </w:r>
    </w:p>
    <w:p w14:paraId="5B2D6B8A" w14:textId="77777777" w:rsidR="00B611A5" w:rsidRPr="00123B7B" w:rsidRDefault="00B611A5" w:rsidP="005009B4">
      <w:pPr>
        <w:pStyle w:val="Akapitzlist1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671D2D14" w14:textId="77777777">
        <w:tc>
          <w:tcPr>
            <w:tcW w:w="9639" w:type="dxa"/>
          </w:tcPr>
          <w:p w14:paraId="78837B46" w14:textId="77777777" w:rsidR="00B611A5" w:rsidRPr="00123B7B" w:rsidRDefault="00B611A5" w:rsidP="005009B4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62378D48" w14:textId="77777777">
        <w:tc>
          <w:tcPr>
            <w:tcW w:w="9639" w:type="dxa"/>
          </w:tcPr>
          <w:p w14:paraId="655753D2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Sfera publiczna a sektor publiczny. Elementy składowe (ogniwa, podsektory) sektora finansów publicznych ich wzajemne powiązania. Mechanizm finansowania i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>.</w:t>
            </w:r>
          </w:p>
        </w:tc>
      </w:tr>
      <w:tr w:rsidR="00B611A5" w:rsidRPr="00123B7B" w14:paraId="4C6C495F" w14:textId="77777777">
        <w:tc>
          <w:tcPr>
            <w:tcW w:w="9639" w:type="dxa"/>
          </w:tcPr>
          <w:p w14:paraId="0833F5E0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Rola podmiotów sektora publicznego w realizacji funkcji alokacyjnej, redystrybucyjnej, stabilizacyjnej i kontrolnej polityki fiskalnej. Realizacja tych funkcji na poziomie jednostek </w:t>
            </w:r>
            <w:r w:rsidRPr="00123B7B">
              <w:rPr>
                <w:rFonts w:ascii="Corbel" w:hAnsi="Corbel" w:cs="Corbel"/>
              </w:rPr>
              <w:lastRenderedPageBreak/>
              <w:t>samorządu terytorialnego.</w:t>
            </w:r>
          </w:p>
        </w:tc>
      </w:tr>
      <w:tr w:rsidR="00B611A5" w:rsidRPr="00123B7B" w14:paraId="64FCC7E6" w14:textId="77777777">
        <w:tc>
          <w:tcPr>
            <w:tcW w:w="9639" w:type="dxa"/>
          </w:tcPr>
          <w:p w14:paraId="7147A7C9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lastRenderedPageBreak/>
              <w:t>Organizacja sektora finansów publicznych w Polsce w kontekście zarządzania finansami publicznymi. Formy organizacyjno-prawne gospodarki budżetowej- jednostki budżetowe, zakłady budżetowe, fundusze celowe.</w:t>
            </w:r>
          </w:p>
        </w:tc>
      </w:tr>
      <w:tr w:rsidR="00B611A5" w:rsidRPr="00123B7B" w14:paraId="649B9604" w14:textId="77777777">
        <w:tc>
          <w:tcPr>
            <w:tcW w:w="9639" w:type="dxa"/>
          </w:tcPr>
          <w:p w14:paraId="508DA263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Gospodarka budżetowa państwa –podstawowe kategorie budżetowe (dochody, wydatki, przychody, rozchody budżetowe). Problem równoważenia budżetu, deficyt budżetowy i dług publiczny. </w:t>
            </w:r>
          </w:p>
        </w:tc>
      </w:tr>
      <w:tr w:rsidR="00B611A5" w:rsidRPr="00123B7B" w14:paraId="363841CC" w14:textId="77777777">
        <w:tc>
          <w:tcPr>
            <w:tcW w:w="9639" w:type="dxa"/>
          </w:tcPr>
          <w:p w14:paraId="3FD7006E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Teoretyczne i praktyczne przyczyny deficytu budżetowego i długu publicznego. Rodzaje deficytów budżetowych. Struktura i dynamika długu publicznego w Polsce i innych krajach UE i świata. Procedury legislacyjne, ostrożnościowe i sanacyjne w procesie zarządzania deficytem i długiem publicznym.</w:t>
            </w:r>
          </w:p>
        </w:tc>
      </w:tr>
      <w:tr w:rsidR="00B611A5" w:rsidRPr="00123B7B" w14:paraId="00EAD307" w14:textId="77777777">
        <w:tc>
          <w:tcPr>
            <w:tcW w:w="9639" w:type="dxa"/>
          </w:tcPr>
          <w:p w14:paraId="2740EDAD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Stabilność sektora finansów publicznych i jego uwarunkowania ekonomiczne i instytucjonalne. Przykład Polski i innych krajów UE i świata. Rozwiązania instytucjonalne i prawe stosowane w Unii Europejskiej.</w:t>
            </w:r>
          </w:p>
        </w:tc>
      </w:tr>
      <w:tr w:rsidR="00B611A5" w:rsidRPr="00123B7B" w14:paraId="7D373689" w14:textId="77777777">
        <w:tc>
          <w:tcPr>
            <w:tcW w:w="9639" w:type="dxa"/>
          </w:tcPr>
          <w:p w14:paraId="4BAE6A7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Współzależność kryzysów finansowych, gospodarczych i fiskalnych. Istota i przyczyny kryzysu finansów publicznych w niektórych krajach stery euro.</w:t>
            </w:r>
          </w:p>
        </w:tc>
      </w:tr>
      <w:tr w:rsidR="00B611A5" w:rsidRPr="00123B7B" w14:paraId="4F9E5C3D" w14:textId="77777777">
        <w:tc>
          <w:tcPr>
            <w:tcW w:w="9639" w:type="dxa"/>
          </w:tcPr>
          <w:p w14:paraId="4A34333C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Istota, cele i narzędzia polityki podatkowej. Podatek jako kategoria ekonomiczna. Teorie podatkowe (m.in. teoria optymalnego opodatkowani), ekonomiczne skutki podatków, krzywa Laffera i jej interpretacja.</w:t>
            </w:r>
          </w:p>
        </w:tc>
      </w:tr>
      <w:tr w:rsidR="00B611A5" w:rsidRPr="00123B7B" w14:paraId="46DAF55A" w14:textId="77777777">
        <w:tc>
          <w:tcPr>
            <w:tcW w:w="9639" w:type="dxa"/>
          </w:tcPr>
          <w:p w14:paraId="09456907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Finanse jednostek samorządu terytorialnego. Źródła dochodów i wydatki różnych szczebli samorządu terytorialnego w Polsce.  </w:t>
            </w:r>
          </w:p>
        </w:tc>
      </w:tr>
      <w:tr w:rsidR="00B611A5" w:rsidRPr="00123B7B" w14:paraId="72783AF6" w14:textId="77777777">
        <w:tc>
          <w:tcPr>
            <w:tcW w:w="9639" w:type="dxa"/>
          </w:tcPr>
          <w:p w14:paraId="5903664B" w14:textId="77777777" w:rsidR="00B611A5" w:rsidRPr="00123B7B" w:rsidRDefault="00B611A5" w:rsidP="005009B4">
            <w:pPr>
              <w:numPr>
                <w:ilvl w:val="3"/>
                <w:numId w:val="3"/>
              </w:numPr>
              <w:tabs>
                <w:tab w:val="clear" w:pos="3240"/>
                <w:tab w:val="num" w:pos="54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Problematyka finansów systemu ubezpieczeń społecznych. Struktura instytucjonalna systemu emerytalno-rentowego w Polsce. Przyczyny nierównowagi finansów funduszu ubezpieczeń społecznych.</w:t>
            </w:r>
          </w:p>
        </w:tc>
      </w:tr>
    </w:tbl>
    <w:p w14:paraId="097AE8E8" w14:textId="77777777" w:rsidR="00B611A5" w:rsidRPr="00123B7B" w:rsidRDefault="00B611A5" w:rsidP="00C9412C">
      <w:pPr>
        <w:spacing w:after="0" w:line="240" w:lineRule="auto"/>
        <w:rPr>
          <w:rFonts w:ascii="Corbel" w:hAnsi="Corbel" w:cs="Corbel"/>
        </w:rPr>
      </w:pPr>
    </w:p>
    <w:p w14:paraId="4B45B15F" w14:textId="77777777" w:rsidR="00B611A5" w:rsidRPr="00123B7B" w:rsidRDefault="00B611A5" w:rsidP="00C9412C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B611A5" w:rsidRPr="00123B7B" w14:paraId="1518EB31" w14:textId="77777777">
        <w:tc>
          <w:tcPr>
            <w:tcW w:w="9639" w:type="dxa"/>
          </w:tcPr>
          <w:p w14:paraId="4BB25FFB" w14:textId="77777777" w:rsidR="00B611A5" w:rsidRPr="00123B7B" w:rsidRDefault="00B611A5" w:rsidP="005009B4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Treści merytoryczne</w:t>
            </w:r>
          </w:p>
        </w:tc>
      </w:tr>
      <w:tr w:rsidR="00B611A5" w:rsidRPr="00123B7B" w14:paraId="350B633C" w14:textId="77777777">
        <w:tc>
          <w:tcPr>
            <w:tcW w:w="9639" w:type="dxa"/>
          </w:tcPr>
          <w:p w14:paraId="7803637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Budżet państwa. Tryb opracowania i uchwalania budżetu państwa i ustaw około budżetowych. Konsekwencje zasad budżetowych. Dysponenci części budżetowej i ich struktura.</w:t>
            </w:r>
          </w:p>
        </w:tc>
      </w:tr>
      <w:tr w:rsidR="00B611A5" w:rsidRPr="00123B7B" w14:paraId="19AD2469" w14:textId="77777777">
        <w:tc>
          <w:tcPr>
            <w:tcW w:w="9639" w:type="dxa"/>
          </w:tcPr>
          <w:p w14:paraId="10EAC5A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Pojęcie i formy dochodów budżetu państwa. Charakterystyka dochodów w  sektorze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Fonts w:ascii="Corbel" w:hAnsi="Corbel" w:cs="Corbel"/>
              </w:rPr>
              <w:t xml:space="preserve"> (ich form, źródeł i struktury) 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. Wydatki sektora </w:t>
            </w:r>
            <w:r w:rsidRPr="00123B7B">
              <w:rPr>
                <w:rStyle w:val="Uwydatnienie"/>
                <w:rFonts w:ascii="Corbel" w:hAnsi="Corbel" w:cs="Corbel"/>
                <w:shd w:val="clear" w:color="auto" w:fill="FFFFFF"/>
              </w:rPr>
              <w:t>general government</w:t>
            </w:r>
            <w:r w:rsidRPr="00123B7B">
              <w:rPr>
                <w:rStyle w:val="Uwydatnienie"/>
                <w:rFonts w:ascii="Corbel" w:hAnsi="Corbel" w:cs="Corbel"/>
                <w:i w:val="0"/>
                <w:iCs w:val="0"/>
                <w:shd w:val="clear" w:color="auto" w:fill="FFFFFF"/>
              </w:rPr>
              <w:t xml:space="preserve"> – ich dynamika i struktura na przykładzie Polski.</w:t>
            </w:r>
          </w:p>
        </w:tc>
      </w:tr>
      <w:tr w:rsidR="00B611A5" w:rsidRPr="00123B7B" w14:paraId="04C60475" w14:textId="77777777">
        <w:tc>
          <w:tcPr>
            <w:tcW w:w="9639" w:type="dxa"/>
          </w:tcPr>
          <w:p w14:paraId="225A7EFA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Metody budżetowania - budżet liniowy, zadaniowy, operacyjny i mieszany. Budżet zadaniowy jako instrument zarządzania w jednostkach sektora finansów publicznych. </w:t>
            </w:r>
          </w:p>
        </w:tc>
      </w:tr>
      <w:tr w:rsidR="00B611A5" w:rsidRPr="00123B7B" w14:paraId="5C579922" w14:textId="77777777">
        <w:tc>
          <w:tcPr>
            <w:tcW w:w="9639" w:type="dxa"/>
          </w:tcPr>
          <w:p w14:paraId="3BA5A27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samorządu terytorialnego w Polsce. Zasady gospodarki finansowej jednostek samorządu terytorialnego (JST) i budżet JST. Realizacja zadań publicznych a gospodarka finansowa JST. Zadania własne gmin, powiatów-analiza porównawcza.</w:t>
            </w:r>
          </w:p>
        </w:tc>
      </w:tr>
      <w:tr w:rsidR="00B611A5" w:rsidRPr="00123B7B" w14:paraId="701E5F00" w14:textId="77777777">
        <w:tc>
          <w:tcPr>
            <w:tcW w:w="9639" w:type="dxa"/>
          </w:tcPr>
          <w:p w14:paraId="279A93A1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Podatki lokalne i władztwo podatkowe w kontekście finansów jednostek samorządu terytorialnego.  Dochody z źródeł publicznych a samodzielność finansowa JST.</w:t>
            </w:r>
          </w:p>
        </w:tc>
      </w:tr>
      <w:tr w:rsidR="00B611A5" w:rsidRPr="00123B7B" w14:paraId="32AF294B" w14:textId="77777777">
        <w:tc>
          <w:tcPr>
            <w:tcW w:w="9639" w:type="dxa"/>
          </w:tcPr>
          <w:p w14:paraId="582F8932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Sprawozdawczość finansowa w JST. Procedury badania sprawozdań finansowych w JST. Analiza kondycji ekonomiczno-finansowej JST. </w:t>
            </w:r>
          </w:p>
        </w:tc>
      </w:tr>
      <w:tr w:rsidR="00B611A5" w:rsidRPr="00123B7B" w14:paraId="3796E5BB" w14:textId="77777777">
        <w:tc>
          <w:tcPr>
            <w:tcW w:w="9639" w:type="dxa"/>
          </w:tcPr>
          <w:p w14:paraId="04CFEBD4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Zarządzanie deficytem i długiem na szczeblu jednostek samorządu terytorialnego.</w:t>
            </w:r>
          </w:p>
        </w:tc>
      </w:tr>
      <w:tr w:rsidR="00B611A5" w:rsidRPr="00123B7B" w14:paraId="6DA05C07" w14:textId="77777777">
        <w:tc>
          <w:tcPr>
            <w:tcW w:w="9639" w:type="dxa"/>
          </w:tcPr>
          <w:p w14:paraId="32F7F5E0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Finanse sektora ubezpieczeń społecznych. Fundusze i elementy systemu ubezpieczeń społecznych w Polsce. Ubezpieczenia emerytalne – istota i zasady. Filary ubezpieczeń emerytalnych (różnice).</w:t>
            </w:r>
          </w:p>
        </w:tc>
      </w:tr>
      <w:tr w:rsidR="00B611A5" w:rsidRPr="00123B7B" w14:paraId="1D4DC6D4" w14:textId="77777777">
        <w:tc>
          <w:tcPr>
            <w:tcW w:w="9639" w:type="dxa"/>
          </w:tcPr>
          <w:p w14:paraId="3BF76796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Ubezpieczenia rentowe, chorobowe i wypadkowe. Ustalanie wysokości składek z tytułu ubezpieczeń społecznych osób zatrudnionych oraz przedsiębiorców.</w:t>
            </w:r>
          </w:p>
        </w:tc>
      </w:tr>
      <w:tr w:rsidR="00B611A5" w:rsidRPr="00123B7B" w14:paraId="3B0DE4AE" w14:textId="77777777">
        <w:tc>
          <w:tcPr>
            <w:tcW w:w="9639" w:type="dxa"/>
          </w:tcPr>
          <w:p w14:paraId="4BD1649E" w14:textId="77777777" w:rsidR="00B611A5" w:rsidRPr="00123B7B" w:rsidRDefault="00B611A5" w:rsidP="005009B4">
            <w:pPr>
              <w:numPr>
                <w:ilvl w:val="0"/>
                <w:numId w:val="6"/>
              </w:numPr>
              <w:tabs>
                <w:tab w:val="clear" w:pos="720"/>
              </w:tabs>
              <w:spacing w:after="0" w:line="240" w:lineRule="auto"/>
              <w:ind w:left="54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System finansowania ochrony zdrowia w Polsce. Zarządzanie finansami w jednostkach publicznej służby zdrowia.</w:t>
            </w:r>
          </w:p>
        </w:tc>
      </w:tr>
    </w:tbl>
    <w:p w14:paraId="1F0AB48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78BCD6FD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3.4 Metody dydaktyczne</w:t>
      </w:r>
    </w:p>
    <w:p w14:paraId="7F90A556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sz w:val="22"/>
          <w:szCs w:val="22"/>
        </w:rPr>
      </w:pPr>
    </w:p>
    <w:p w14:paraId="6B23D724" w14:textId="77777777" w:rsidR="00B611A5" w:rsidRPr="00123B7B" w:rsidRDefault="00B611A5" w:rsidP="00C9412C">
      <w:pPr>
        <w:spacing w:after="0" w:line="240" w:lineRule="auto"/>
        <w:jc w:val="both"/>
        <w:rPr>
          <w:rFonts w:ascii="Corbel" w:hAnsi="Corbel" w:cs="Corbel"/>
        </w:rPr>
      </w:pPr>
      <w:r w:rsidRPr="00123B7B">
        <w:rPr>
          <w:rFonts w:ascii="Corbel" w:hAnsi="Corbel" w:cs="Corbel"/>
        </w:rPr>
        <w:t>Wykład z prezentacją multimedialną.</w:t>
      </w:r>
    </w:p>
    <w:p w14:paraId="59016681" w14:textId="77777777" w:rsidR="00B611A5" w:rsidRPr="00123B7B" w:rsidRDefault="00B611A5" w:rsidP="00C9412C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lastRenderedPageBreak/>
        <w:t>Ćwiczenia obejmują dyskusję moderowaną, analizę i interpretację danych źródłowych oraz rozwiązywanie zadań, analizę budżetów JST, przygotowywanie i udział w dyskusji, pracę zespołową.</w:t>
      </w:r>
    </w:p>
    <w:p w14:paraId="25C64865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42D402E3" w14:textId="77777777" w:rsidR="00B611A5" w:rsidRPr="00123B7B" w:rsidRDefault="00B611A5" w:rsidP="00C9412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A7FA125" w14:textId="77777777" w:rsidR="00B611A5" w:rsidRPr="00123B7B" w:rsidRDefault="00B611A5" w:rsidP="005009B4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p w14:paraId="6D55EABF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0"/>
        <w:gridCol w:w="5103"/>
        <w:gridCol w:w="2126"/>
      </w:tblGrid>
      <w:tr w:rsidR="00B611A5" w:rsidRPr="00123B7B" w14:paraId="47CF1E08" w14:textId="77777777">
        <w:tc>
          <w:tcPr>
            <w:tcW w:w="2410" w:type="dxa"/>
            <w:vAlign w:val="center"/>
          </w:tcPr>
          <w:p w14:paraId="141B8738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F1F1D1F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67AD2DCA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9C27E37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3570EA09" w14:textId="77777777" w:rsidR="00B611A5" w:rsidRPr="00123B7B" w:rsidRDefault="00B611A5" w:rsidP="0045506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B611A5" w:rsidRPr="00123B7B" w14:paraId="76DCB0C6" w14:textId="77777777">
        <w:tc>
          <w:tcPr>
            <w:tcW w:w="2410" w:type="dxa"/>
          </w:tcPr>
          <w:p w14:paraId="6FBFECA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5103" w:type="dxa"/>
          </w:tcPr>
          <w:p w14:paraId="30E78589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zajęć, kolokwium, egzamin pisemny</w:t>
            </w:r>
          </w:p>
        </w:tc>
        <w:tc>
          <w:tcPr>
            <w:tcW w:w="2126" w:type="dxa"/>
          </w:tcPr>
          <w:p w14:paraId="3CFAA6C5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2DCEFE1A" w14:textId="77777777">
        <w:tc>
          <w:tcPr>
            <w:tcW w:w="2410" w:type="dxa"/>
          </w:tcPr>
          <w:p w14:paraId="0B769AA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5103" w:type="dxa"/>
          </w:tcPr>
          <w:p w14:paraId="601718AF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referat z prezentacją, kolokwium, egzamin pisemny</w:t>
            </w:r>
          </w:p>
        </w:tc>
        <w:tc>
          <w:tcPr>
            <w:tcW w:w="2126" w:type="dxa"/>
          </w:tcPr>
          <w:p w14:paraId="711AD7A0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Wykład, ćwiczenia</w:t>
            </w:r>
          </w:p>
        </w:tc>
      </w:tr>
      <w:tr w:rsidR="00B611A5" w:rsidRPr="00123B7B" w14:paraId="09010818" w14:textId="77777777">
        <w:tc>
          <w:tcPr>
            <w:tcW w:w="2410" w:type="dxa"/>
          </w:tcPr>
          <w:p w14:paraId="78F6F15A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5103" w:type="dxa"/>
          </w:tcPr>
          <w:p w14:paraId="3495F598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77FB914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5EA41641" w14:textId="77777777">
        <w:tc>
          <w:tcPr>
            <w:tcW w:w="2410" w:type="dxa"/>
          </w:tcPr>
          <w:p w14:paraId="07A0364C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5103" w:type="dxa"/>
          </w:tcPr>
          <w:p w14:paraId="284FB037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kolokwium, egzamin pisemny</w:t>
            </w:r>
          </w:p>
        </w:tc>
        <w:tc>
          <w:tcPr>
            <w:tcW w:w="2126" w:type="dxa"/>
          </w:tcPr>
          <w:p w14:paraId="14280713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  <w:tr w:rsidR="00B611A5" w:rsidRPr="00123B7B" w14:paraId="3AE6CD5B" w14:textId="77777777">
        <w:tc>
          <w:tcPr>
            <w:tcW w:w="2410" w:type="dxa"/>
          </w:tcPr>
          <w:p w14:paraId="57F697D9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EK_05</w:t>
            </w:r>
          </w:p>
        </w:tc>
        <w:tc>
          <w:tcPr>
            <w:tcW w:w="5103" w:type="dxa"/>
          </w:tcPr>
          <w:p w14:paraId="2A2C50AD" w14:textId="77777777" w:rsidR="00B611A5" w:rsidRPr="00123B7B" w:rsidRDefault="00B611A5" w:rsidP="005009B4">
            <w:pPr>
              <w:spacing w:after="0" w:line="240" w:lineRule="auto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obserwacja w trakcie zajęć</w:t>
            </w:r>
          </w:p>
        </w:tc>
        <w:tc>
          <w:tcPr>
            <w:tcW w:w="2126" w:type="dxa"/>
          </w:tcPr>
          <w:p w14:paraId="011FC575" w14:textId="77777777" w:rsidR="00B611A5" w:rsidRPr="00123B7B" w:rsidRDefault="00B611A5" w:rsidP="005009B4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Wykład, ćwiczenia</w:t>
            </w:r>
          </w:p>
        </w:tc>
      </w:tr>
    </w:tbl>
    <w:p w14:paraId="4360EA3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7805E9DD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5E9B1BB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p w14:paraId="415422E2" w14:textId="77777777" w:rsidR="00B611A5" w:rsidRPr="00123B7B" w:rsidRDefault="00B611A5" w:rsidP="00C9412C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B611A5" w:rsidRPr="00123B7B" w14:paraId="74E179A3" w14:textId="77777777">
        <w:tc>
          <w:tcPr>
            <w:tcW w:w="9670" w:type="dxa"/>
          </w:tcPr>
          <w:p w14:paraId="53CB0AAC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Ćwiczenia – ocena z kolokwium skorygowana o ocenę aktywności na zajęciach i ocenę z referatu. </w:t>
            </w:r>
          </w:p>
          <w:p w14:paraId="2F6548C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Wykład – egzamin  pisemny (test: pytania otwarte i zamknięte wielokrotnego wyboru).</w:t>
            </w:r>
          </w:p>
          <w:p w14:paraId="5BA570B3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Ocena 3,0 wymaga uzyskania 51% maksymalnej ilości punktów przypisanych do poszczególnych działań składających się na zaliczenie. </w:t>
            </w:r>
          </w:p>
        </w:tc>
      </w:tr>
    </w:tbl>
    <w:p w14:paraId="090450A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5973359" w14:textId="77777777" w:rsidR="00B611A5" w:rsidRPr="00123B7B" w:rsidRDefault="00B611A5" w:rsidP="00C9412C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123B7B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1499898B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B611A5" w:rsidRPr="00123B7B" w14:paraId="050163FB" w14:textId="77777777">
        <w:tc>
          <w:tcPr>
            <w:tcW w:w="4962" w:type="dxa"/>
            <w:vAlign w:val="center"/>
          </w:tcPr>
          <w:p w14:paraId="613E536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12F30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B611A5" w:rsidRPr="00123B7B" w14:paraId="01288D7B" w14:textId="77777777">
        <w:tc>
          <w:tcPr>
            <w:tcW w:w="4962" w:type="dxa"/>
          </w:tcPr>
          <w:p w14:paraId="216535E7" w14:textId="6A4A3CA3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 xml:space="preserve">Godziny kontaktowe wynikające </w:t>
            </w:r>
            <w:r w:rsidR="00934F85">
              <w:rPr>
                <w:rFonts w:ascii="Corbel" w:hAnsi="Corbel" w:cs="Corbel"/>
              </w:rPr>
              <w:t xml:space="preserve">z harmonogramu </w:t>
            </w:r>
            <w:r w:rsidRPr="00123B7B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42D1AEB7" w14:textId="411606F4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27</w:t>
            </w:r>
          </w:p>
        </w:tc>
      </w:tr>
      <w:tr w:rsidR="00B611A5" w:rsidRPr="00123B7B" w14:paraId="2F40AF4B" w14:textId="77777777">
        <w:tc>
          <w:tcPr>
            <w:tcW w:w="4962" w:type="dxa"/>
          </w:tcPr>
          <w:p w14:paraId="0BC869D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Inne z udziałem nauczyciela</w:t>
            </w:r>
          </w:p>
          <w:p w14:paraId="22916C39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3FF18323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3</w:t>
            </w:r>
          </w:p>
        </w:tc>
      </w:tr>
      <w:tr w:rsidR="00B611A5" w:rsidRPr="00123B7B" w14:paraId="22F34BB8" w14:textId="77777777">
        <w:tc>
          <w:tcPr>
            <w:tcW w:w="4962" w:type="dxa"/>
          </w:tcPr>
          <w:p w14:paraId="5F919CAC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77" w:type="dxa"/>
          </w:tcPr>
          <w:p w14:paraId="703456D0" w14:textId="21F67CEF" w:rsidR="00B611A5" w:rsidRPr="00123B7B" w:rsidRDefault="00E21860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70</w:t>
            </w:r>
          </w:p>
        </w:tc>
      </w:tr>
      <w:tr w:rsidR="00B611A5" w:rsidRPr="00123B7B" w14:paraId="3E1E9EE7" w14:textId="77777777">
        <w:tc>
          <w:tcPr>
            <w:tcW w:w="4962" w:type="dxa"/>
          </w:tcPr>
          <w:p w14:paraId="6AACA9E2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7CFE2D59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100</w:t>
            </w:r>
          </w:p>
        </w:tc>
      </w:tr>
      <w:tr w:rsidR="00B611A5" w:rsidRPr="00123B7B" w14:paraId="31ED8E27" w14:textId="77777777">
        <w:tc>
          <w:tcPr>
            <w:tcW w:w="4962" w:type="dxa"/>
          </w:tcPr>
          <w:p w14:paraId="37C2C93A" w14:textId="77777777" w:rsidR="00B611A5" w:rsidRPr="00123B7B" w:rsidRDefault="00B611A5" w:rsidP="00274CFD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123B7B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6AE9095" w14:textId="77777777" w:rsidR="00B611A5" w:rsidRPr="00123B7B" w:rsidRDefault="00B611A5" w:rsidP="007040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123B7B">
              <w:rPr>
                <w:rFonts w:ascii="Corbel" w:hAnsi="Corbel" w:cs="Corbel"/>
              </w:rPr>
              <w:t>4</w:t>
            </w:r>
          </w:p>
        </w:tc>
      </w:tr>
    </w:tbl>
    <w:p w14:paraId="017348D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EBDE4FA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6061D3F" w14:textId="48343749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>6. PRAKTYKI ZAWODOWE W RAMACH PRZEDMIOTU</w:t>
      </w:r>
    </w:p>
    <w:p w14:paraId="039CB156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6"/>
        <w:gridCol w:w="4018"/>
      </w:tblGrid>
      <w:tr w:rsidR="00B611A5" w:rsidRPr="00123B7B" w14:paraId="3E20E12A" w14:textId="77777777" w:rsidTr="00D12BEC">
        <w:trPr>
          <w:trHeight w:val="397"/>
        </w:trPr>
        <w:tc>
          <w:tcPr>
            <w:tcW w:w="2961" w:type="pct"/>
          </w:tcPr>
          <w:p w14:paraId="2D4BF39B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55CD4019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B611A5" w:rsidRPr="00123B7B" w14:paraId="7B984E83" w14:textId="77777777" w:rsidTr="00D12BEC">
        <w:trPr>
          <w:trHeight w:val="397"/>
        </w:trPr>
        <w:tc>
          <w:tcPr>
            <w:tcW w:w="2961" w:type="pct"/>
          </w:tcPr>
          <w:p w14:paraId="0E6AD92F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341A9A25" w14:textId="77777777" w:rsidR="00B611A5" w:rsidRPr="00123B7B" w:rsidRDefault="00B611A5" w:rsidP="00D12BE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1D08E5F6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123B7B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p w14:paraId="796AD745" w14:textId="77777777" w:rsidR="00B611A5" w:rsidRPr="00123B7B" w:rsidRDefault="00B611A5" w:rsidP="00C9412C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B611A5" w:rsidRPr="00123B7B" w14:paraId="269AC938" w14:textId="77777777" w:rsidTr="6CDC0099">
        <w:trPr>
          <w:trHeight w:val="397"/>
        </w:trPr>
        <w:tc>
          <w:tcPr>
            <w:tcW w:w="5000" w:type="pct"/>
          </w:tcPr>
          <w:p w14:paraId="12D16828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06958433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Owsiak S., Finanse publiczne. Współczesne ujęcie, PWN, Warszawa 2017.</w:t>
            </w:r>
          </w:p>
          <w:p w14:paraId="30FD5ED0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Winiarska K. (red.), Sprawozdawczość finansowa i budżetowa jednostek sektora finansów publicznych, Wolters Kluwer, Warszawa 2016.</w:t>
            </w:r>
          </w:p>
          <w:p w14:paraId="032B1394" w14:textId="77777777" w:rsidR="00B611A5" w:rsidRPr="00123B7B" w:rsidRDefault="00B611A5" w:rsidP="00934AB5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Heciak S., Finanse i rachunkowość sektora publicznego, Presscom, Wrocław 2014.</w:t>
            </w:r>
          </w:p>
        </w:tc>
      </w:tr>
      <w:tr w:rsidR="00B611A5" w:rsidRPr="00123B7B" w14:paraId="77E18082" w14:textId="77777777" w:rsidTr="6CDC0099">
        <w:trPr>
          <w:trHeight w:val="397"/>
        </w:trPr>
        <w:tc>
          <w:tcPr>
            <w:tcW w:w="5000" w:type="pct"/>
          </w:tcPr>
          <w:p w14:paraId="1B262285" w14:textId="77777777" w:rsidR="00B611A5" w:rsidRPr="00123B7B" w:rsidRDefault="00B611A5" w:rsidP="00274CF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lastRenderedPageBreak/>
              <w:t>Literatura uzupełniająca:</w:t>
            </w:r>
          </w:p>
          <w:p w14:paraId="21070323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Kowalczyk M., Podstawy analizy ekonomiczno-finansowej w jednostkach samorządu terytorialnego, Difin, Warszawa 2017.</w:t>
            </w:r>
          </w:p>
          <w:p w14:paraId="25101FBF" w14:textId="77777777" w:rsidR="00B611A5" w:rsidRPr="00123B7B" w:rsidRDefault="00D77C09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hyperlink r:id="rId10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Dylewski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1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Filipiak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B., </w:t>
            </w:r>
            <w:hyperlink r:id="rId12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Zioło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 </w:t>
            </w:r>
            <w:hyperlink r:id="rId13" w:history="1">
              <w:r w:rsidR="00B611A5" w:rsidRPr="00123B7B">
                <w:rPr>
                  <w:rFonts w:ascii="Corbel" w:hAnsi="Corbel" w:cs="Corbel"/>
                  <w:b w:val="0"/>
                  <w:bCs w:val="0"/>
                  <w:smallCaps w:val="0"/>
                  <w:color w:val="000000"/>
                  <w:sz w:val="22"/>
                  <w:szCs w:val="22"/>
                </w:rPr>
                <w:t>Gorzałczyńska-Koczkodaj</w:t>
              </w:r>
            </w:hyperlink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 M., Finanse publiczne: aspekty teoretyczne i praktyczne, </w:t>
            </w:r>
            <w:r w:rsidR="00B611A5" w:rsidRPr="00123B7B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Wydawnictwo C. H. Beck, Warszawa 2014.</w:t>
            </w:r>
          </w:p>
          <w:p w14:paraId="769EA78B" w14:textId="77777777" w:rsidR="00B611A5" w:rsidRPr="00123B7B" w:rsidRDefault="00B611A5" w:rsidP="0086619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Kaczurak-Kozak M., Walczak P., Culepa M., Vademecum głównego księgowego jednostki finansów publicznych, Wydawnictwo C.H. Beck, Warszawa 2014.</w:t>
            </w:r>
          </w:p>
          <w:p w14:paraId="3F8E7270" w14:textId="77777777" w:rsidR="00B611A5" w:rsidRPr="00123B7B" w:rsidRDefault="00B611A5" w:rsidP="004144E6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123B7B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Gabrusewicz T., Marchewka-Bartkowiak K., Wiśniewski M. (red.), Rachunkowość, finanse, audyt i kontrola: studium przypadków sektora publicznego i prywatnego, CeDeWu, Warszawa, 2013.</w:t>
            </w:r>
          </w:p>
          <w:p w14:paraId="4852B50B" w14:textId="7212AB51" w:rsidR="00B611A5" w:rsidRPr="00123B7B" w:rsidRDefault="00B611A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6CDC0099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Jastrzębska M., Finanse jednostek samorządu terytorialnego, Wolters Kluwer, Warszawa 2012. </w:t>
            </w:r>
          </w:p>
          <w:p w14:paraId="149329D7" w14:textId="7ADEA25C" w:rsidR="00B611A5" w:rsidRPr="00EF2046" w:rsidRDefault="1BE5D53F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smallCaps w:val="0"/>
                <w:color w:val="000000" w:themeColor="text1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 xml:space="preserve">Ryzyko finansowe w kontekście zadłużenia jednostek samorządu terytorialnego w Polsce, 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„Optimum. Studia Ekonomiczne”, nr 4(76),</w:t>
            </w:r>
            <w:r w:rsidR="1F9DBC7B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2015,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54-71</w:t>
            </w:r>
            <w:r w:rsidR="446342F5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.</w:t>
            </w:r>
          </w:p>
          <w:p w14:paraId="56C8FEBD" w14:textId="461DD8B0" w:rsidR="00B611A5" w:rsidRPr="00123B7B" w:rsidRDefault="446342F5" w:rsidP="6CDC0099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eastAsia="Corbel" w:hAnsi="Corbel" w:cs="Corbel"/>
                <w:b w:val="0"/>
                <w:bCs w:val="0"/>
                <w:color w:val="000000" w:themeColor="text1"/>
                <w:sz w:val="22"/>
                <w:szCs w:val="22"/>
              </w:rPr>
            </w:pP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Kata R., </w:t>
            </w:r>
            <w:r w:rsidRPr="00EF2046">
              <w:rPr>
                <w:rFonts w:ascii="Corbel" w:eastAsia="Corbel" w:hAnsi="Corbel" w:cs="Corbel"/>
                <w:b w:val="0"/>
                <w:bCs w:val="0"/>
                <w:i/>
                <w:iCs/>
                <w:smallCaps w:val="0"/>
              </w:rPr>
              <w:t>Poziom oraz struktura wydatków inwestycyjnych gmin w Polsce a ich dochody podatkowe i majątkowe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>, „Finanse Komunalne”, nr 9(236),</w:t>
            </w:r>
            <w:r w:rsidR="42FF0A8E"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2018</w:t>
            </w:r>
            <w:r w:rsidRPr="00EF2046">
              <w:rPr>
                <w:rFonts w:ascii="Corbel" w:eastAsia="Corbel" w:hAnsi="Corbel" w:cs="Corbel"/>
                <w:b w:val="0"/>
                <w:bCs w:val="0"/>
                <w:smallCaps w:val="0"/>
              </w:rPr>
              <w:t xml:space="preserve"> s. 5-18.</w:t>
            </w:r>
          </w:p>
        </w:tc>
      </w:tr>
    </w:tbl>
    <w:p w14:paraId="210BF1FD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624F4D00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1749EDE4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A380518" w14:textId="77777777" w:rsidR="00B611A5" w:rsidRPr="00123B7B" w:rsidRDefault="00B611A5" w:rsidP="00C9412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123B7B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22282537" w14:textId="77777777" w:rsidR="00B611A5" w:rsidRPr="00123B7B" w:rsidRDefault="00B611A5" w:rsidP="00C9412C">
      <w:pPr>
        <w:spacing w:line="240" w:lineRule="auto"/>
        <w:rPr>
          <w:rFonts w:ascii="Corbel" w:hAnsi="Corbel" w:cs="Corbel"/>
        </w:rPr>
      </w:pPr>
    </w:p>
    <w:sectPr w:rsidR="00B611A5" w:rsidRPr="00123B7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D82A0E" w14:textId="77777777" w:rsidR="00D77C09" w:rsidRDefault="00D77C09" w:rsidP="00C24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CBC708B" w14:textId="77777777" w:rsidR="00D77C09" w:rsidRDefault="00D77C09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18077" w14:textId="77777777" w:rsidR="00D77C09" w:rsidRDefault="00D77C09" w:rsidP="00C24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6C749F7C" w14:textId="77777777" w:rsidR="00D77C09" w:rsidRDefault="00D77C09" w:rsidP="00C24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C200F30C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432E5B"/>
    <w:multiLevelType w:val="hybridMultilevel"/>
    <w:tmpl w:val="23061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E81E8C"/>
    <w:multiLevelType w:val="hybridMultilevel"/>
    <w:tmpl w:val="3DCAD666"/>
    <w:lvl w:ilvl="0" w:tplc="7E6ED8C0">
      <w:start w:val="1"/>
      <w:numFmt w:val="decimal"/>
      <w:lvlText w:val="%1."/>
      <w:lvlJc w:val="left"/>
      <w:pPr>
        <w:ind w:left="720" w:hanging="360"/>
      </w:pPr>
    </w:lvl>
    <w:lvl w:ilvl="1" w:tplc="B6C8A7FA">
      <w:start w:val="1"/>
      <w:numFmt w:val="lowerLetter"/>
      <w:lvlText w:val="%2."/>
      <w:lvlJc w:val="left"/>
      <w:pPr>
        <w:ind w:left="1440" w:hanging="360"/>
      </w:pPr>
    </w:lvl>
    <w:lvl w:ilvl="2" w:tplc="D1789DD4">
      <w:start w:val="1"/>
      <w:numFmt w:val="lowerRoman"/>
      <w:lvlText w:val="%3."/>
      <w:lvlJc w:val="right"/>
      <w:pPr>
        <w:ind w:left="2160" w:hanging="180"/>
      </w:pPr>
    </w:lvl>
    <w:lvl w:ilvl="3" w:tplc="44C6AC02">
      <w:start w:val="1"/>
      <w:numFmt w:val="decimal"/>
      <w:lvlText w:val="%4."/>
      <w:lvlJc w:val="left"/>
      <w:pPr>
        <w:ind w:left="2880" w:hanging="360"/>
      </w:pPr>
    </w:lvl>
    <w:lvl w:ilvl="4" w:tplc="7DE2A5D8">
      <w:start w:val="1"/>
      <w:numFmt w:val="lowerLetter"/>
      <w:lvlText w:val="%5."/>
      <w:lvlJc w:val="left"/>
      <w:pPr>
        <w:ind w:left="3600" w:hanging="360"/>
      </w:pPr>
    </w:lvl>
    <w:lvl w:ilvl="5" w:tplc="F5B48D86">
      <w:start w:val="1"/>
      <w:numFmt w:val="lowerRoman"/>
      <w:lvlText w:val="%6."/>
      <w:lvlJc w:val="right"/>
      <w:pPr>
        <w:ind w:left="4320" w:hanging="180"/>
      </w:pPr>
    </w:lvl>
    <w:lvl w:ilvl="6" w:tplc="B846C75E">
      <w:start w:val="1"/>
      <w:numFmt w:val="decimal"/>
      <w:lvlText w:val="%7."/>
      <w:lvlJc w:val="left"/>
      <w:pPr>
        <w:ind w:left="5040" w:hanging="360"/>
      </w:pPr>
    </w:lvl>
    <w:lvl w:ilvl="7" w:tplc="FB4C429E">
      <w:start w:val="1"/>
      <w:numFmt w:val="lowerLetter"/>
      <w:lvlText w:val="%8."/>
      <w:lvlJc w:val="left"/>
      <w:pPr>
        <w:ind w:left="5760" w:hanging="360"/>
      </w:pPr>
    </w:lvl>
    <w:lvl w:ilvl="8" w:tplc="05BC656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A852AA"/>
    <w:multiLevelType w:val="hybridMultilevel"/>
    <w:tmpl w:val="21FE5BA8"/>
    <w:lvl w:ilvl="0" w:tplc="96DCFA20">
      <w:start w:val="1"/>
      <w:numFmt w:val="decimal"/>
      <w:lvlText w:val="%1."/>
      <w:lvlJc w:val="left"/>
      <w:pPr>
        <w:ind w:left="720" w:hanging="360"/>
      </w:pPr>
    </w:lvl>
    <w:lvl w:ilvl="1" w:tplc="5648A020">
      <w:start w:val="1"/>
      <w:numFmt w:val="lowerLetter"/>
      <w:lvlText w:val="%2."/>
      <w:lvlJc w:val="left"/>
      <w:pPr>
        <w:ind w:left="1440" w:hanging="360"/>
      </w:pPr>
    </w:lvl>
    <w:lvl w:ilvl="2" w:tplc="5F64E9C4">
      <w:start w:val="1"/>
      <w:numFmt w:val="lowerRoman"/>
      <w:lvlText w:val="%3."/>
      <w:lvlJc w:val="right"/>
      <w:pPr>
        <w:ind w:left="2160" w:hanging="180"/>
      </w:pPr>
    </w:lvl>
    <w:lvl w:ilvl="3" w:tplc="C2D01CD4">
      <w:start w:val="1"/>
      <w:numFmt w:val="decimal"/>
      <w:lvlText w:val="%4."/>
      <w:lvlJc w:val="left"/>
      <w:pPr>
        <w:ind w:left="2880" w:hanging="360"/>
      </w:pPr>
    </w:lvl>
    <w:lvl w:ilvl="4" w:tplc="36E8AA14">
      <w:start w:val="1"/>
      <w:numFmt w:val="lowerLetter"/>
      <w:lvlText w:val="%5."/>
      <w:lvlJc w:val="left"/>
      <w:pPr>
        <w:ind w:left="3600" w:hanging="360"/>
      </w:pPr>
    </w:lvl>
    <w:lvl w:ilvl="5" w:tplc="4C00FE8E">
      <w:start w:val="1"/>
      <w:numFmt w:val="lowerRoman"/>
      <w:lvlText w:val="%6."/>
      <w:lvlJc w:val="right"/>
      <w:pPr>
        <w:ind w:left="4320" w:hanging="180"/>
      </w:pPr>
    </w:lvl>
    <w:lvl w:ilvl="6" w:tplc="4C48CC56">
      <w:start w:val="1"/>
      <w:numFmt w:val="decimal"/>
      <w:lvlText w:val="%7."/>
      <w:lvlJc w:val="left"/>
      <w:pPr>
        <w:ind w:left="5040" w:hanging="360"/>
      </w:pPr>
    </w:lvl>
    <w:lvl w:ilvl="7" w:tplc="76EA6748">
      <w:start w:val="1"/>
      <w:numFmt w:val="lowerLetter"/>
      <w:lvlText w:val="%8."/>
      <w:lvlJc w:val="left"/>
      <w:pPr>
        <w:ind w:left="5760" w:hanging="360"/>
      </w:pPr>
    </w:lvl>
    <w:lvl w:ilvl="8" w:tplc="B5B68A8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F7B95"/>
    <w:multiLevelType w:val="hybridMultilevel"/>
    <w:tmpl w:val="984058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2617D"/>
    <w:multiLevelType w:val="hybridMultilevel"/>
    <w:tmpl w:val="88967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F4539E"/>
    <w:multiLevelType w:val="hybridMultilevel"/>
    <w:tmpl w:val="1E82CFB4"/>
    <w:lvl w:ilvl="0" w:tplc="F6A0F77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643C5"/>
    <w:multiLevelType w:val="hybridMultilevel"/>
    <w:tmpl w:val="1E0ABA6C"/>
    <w:lvl w:ilvl="0" w:tplc="5FA22AB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12C"/>
    <w:rsid w:val="000079CC"/>
    <w:rsid w:val="00026510"/>
    <w:rsid w:val="00041EDC"/>
    <w:rsid w:val="00063510"/>
    <w:rsid w:val="0007428C"/>
    <w:rsid w:val="000A356E"/>
    <w:rsid w:val="000E68A5"/>
    <w:rsid w:val="000E7716"/>
    <w:rsid w:val="00107771"/>
    <w:rsid w:val="00112412"/>
    <w:rsid w:val="00123B7B"/>
    <w:rsid w:val="00132C92"/>
    <w:rsid w:val="00165B5C"/>
    <w:rsid w:val="00183AAB"/>
    <w:rsid w:val="00192F42"/>
    <w:rsid w:val="001C0375"/>
    <w:rsid w:val="001C3F41"/>
    <w:rsid w:val="001D7FCD"/>
    <w:rsid w:val="00252752"/>
    <w:rsid w:val="002615CC"/>
    <w:rsid w:val="002716CC"/>
    <w:rsid w:val="00274CFD"/>
    <w:rsid w:val="00286F03"/>
    <w:rsid w:val="002A0DE2"/>
    <w:rsid w:val="002C4390"/>
    <w:rsid w:val="002C6F93"/>
    <w:rsid w:val="002F741B"/>
    <w:rsid w:val="003179A6"/>
    <w:rsid w:val="003862F3"/>
    <w:rsid w:val="003B755C"/>
    <w:rsid w:val="004144E6"/>
    <w:rsid w:val="00424F45"/>
    <w:rsid w:val="00441B52"/>
    <w:rsid w:val="00455066"/>
    <w:rsid w:val="00457AFE"/>
    <w:rsid w:val="00457E93"/>
    <w:rsid w:val="00475880"/>
    <w:rsid w:val="004E4E3D"/>
    <w:rsid w:val="004EF619"/>
    <w:rsid w:val="005009B4"/>
    <w:rsid w:val="00515001"/>
    <w:rsid w:val="005320A0"/>
    <w:rsid w:val="005418D1"/>
    <w:rsid w:val="00573FDB"/>
    <w:rsid w:val="005F22C2"/>
    <w:rsid w:val="005F66CA"/>
    <w:rsid w:val="00603A5D"/>
    <w:rsid w:val="006137B1"/>
    <w:rsid w:val="006212E1"/>
    <w:rsid w:val="00666379"/>
    <w:rsid w:val="00683140"/>
    <w:rsid w:val="006B5B3C"/>
    <w:rsid w:val="006C6C10"/>
    <w:rsid w:val="006D6567"/>
    <w:rsid w:val="006F300A"/>
    <w:rsid w:val="006F360C"/>
    <w:rsid w:val="006F6A9F"/>
    <w:rsid w:val="007040D8"/>
    <w:rsid w:val="007042E1"/>
    <w:rsid w:val="00725FBD"/>
    <w:rsid w:val="00743A37"/>
    <w:rsid w:val="00746A35"/>
    <w:rsid w:val="0077045C"/>
    <w:rsid w:val="0078133F"/>
    <w:rsid w:val="00795EA0"/>
    <w:rsid w:val="007C3E46"/>
    <w:rsid w:val="00835514"/>
    <w:rsid w:val="00845300"/>
    <w:rsid w:val="008469A8"/>
    <w:rsid w:val="00857315"/>
    <w:rsid w:val="0085747A"/>
    <w:rsid w:val="0086619F"/>
    <w:rsid w:val="00872481"/>
    <w:rsid w:val="008C2F3C"/>
    <w:rsid w:val="008E53F7"/>
    <w:rsid w:val="00920A29"/>
    <w:rsid w:val="00934202"/>
    <w:rsid w:val="00934AB5"/>
    <w:rsid w:val="00934F85"/>
    <w:rsid w:val="009A1D01"/>
    <w:rsid w:val="009B4FF5"/>
    <w:rsid w:val="009B5D0E"/>
    <w:rsid w:val="009C54AE"/>
    <w:rsid w:val="009C78D6"/>
    <w:rsid w:val="009E58A0"/>
    <w:rsid w:val="00A16C1D"/>
    <w:rsid w:val="00A40AEA"/>
    <w:rsid w:val="00A458AB"/>
    <w:rsid w:val="00AA1050"/>
    <w:rsid w:val="00AE39DF"/>
    <w:rsid w:val="00B00EAF"/>
    <w:rsid w:val="00B51BAD"/>
    <w:rsid w:val="00B611A5"/>
    <w:rsid w:val="00B65818"/>
    <w:rsid w:val="00B6751C"/>
    <w:rsid w:val="00B75BA6"/>
    <w:rsid w:val="00B82C20"/>
    <w:rsid w:val="00BD7427"/>
    <w:rsid w:val="00C01156"/>
    <w:rsid w:val="00C24C3A"/>
    <w:rsid w:val="00C2703A"/>
    <w:rsid w:val="00C44DB0"/>
    <w:rsid w:val="00C72E3B"/>
    <w:rsid w:val="00C842B7"/>
    <w:rsid w:val="00C9412C"/>
    <w:rsid w:val="00CC6A1D"/>
    <w:rsid w:val="00CF7B60"/>
    <w:rsid w:val="00D12BEC"/>
    <w:rsid w:val="00D3784C"/>
    <w:rsid w:val="00D44893"/>
    <w:rsid w:val="00D62F68"/>
    <w:rsid w:val="00D657B3"/>
    <w:rsid w:val="00D75AFE"/>
    <w:rsid w:val="00D77C09"/>
    <w:rsid w:val="00D77C3A"/>
    <w:rsid w:val="00D86055"/>
    <w:rsid w:val="00D86D5D"/>
    <w:rsid w:val="00DE0CCD"/>
    <w:rsid w:val="00E11A88"/>
    <w:rsid w:val="00E15B9F"/>
    <w:rsid w:val="00E1710D"/>
    <w:rsid w:val="00E21860"/>
    <w:rsid w:val="00E2572B"/>
    <w:rsid w:val="00E332E8"/>
    <w:rsid w:val="00E41C08"/>
    <w:rsid w:val="00E833E5"/>
    <w:rsid w:val="00EA30CB"/>
    <w:rsid w:val="00EE4C08"/>
    <w:rsid w:val="00EF2046"/>
    <w:rsid w:val="00EF5127"/>
    <w:rsid w:val="00EF5884"/>
    <w:rsid w:val="00F322FF"/>
    <w:rsid w:val="00F63183"/>
    <w:rsid w:val="00F705A0"/>
    <w:rsid w:val="00F719E3"/>
    <w:rsid w:val="00F9050C"/>
    <w:rsid w:val="05D3C73C"/>
    <w:rsid w:val="094CE0AC"/>
    <w:rsid w:val="0BE121EA"/>
    <w:rsid w:val="1BE5D53F"/>
    <w:rsid w:val="1F9DBC7B"/>
    <w:rsid w:val="313AC7F2"/>
    <w:rsid w:val="42FF0A8E"/>
    <w:rsid w:val="446342F5"/>
    <w:rsid w:val="464EFC81"/>
    <w:rsid w:val="5108B0B9"/>
    <w:rsid w:val="52F1CA36"/>
    <w:rsid w:val="5CB16603"/>
    <w:rsid w:val="64CE38DD"/>
    <w:rsid w:val="6A717E3C"/>
    <w:rsid w:val="6CDC0099"/>
    <w:rsid w:val="7653BA4E"/>
    <w:rsid w:val="7C1B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70D6E5"/>
  <w15:docId w15:val="{81F35960-BC8E-4D6B-B2B7-E343EF6D2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12C"/>
    <w:pPr>
      <w:spacing w:after="200" w:line="276" w:lineRule="auto"/>
    </w:pPr>
    <w:rPr>
      <w:rFonts w:eastAsia="Times New Roman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uiPriority w:val="99"/>
    <w:rsid w:val="00C9412C"/>
    <w:pPr>
      <w:spacing w:before="240" w:after="60" w:line="240" w:lineRule="auto"/>
    </w:pPr>
    <w:rPr>
      <w:rFonts w:ascii="Times New Roman" w:hAnsi="Times New Roman" w:cs="Times New Roman"/>
      <w:b/>
      <w:bCs/>
      <w:smallCaps/>
      <w:sz w:val="24"/>
      <w:szCs w:val="24"/>
    </w:rPr>
  </w:style>
  <w:style w:type="paragraph" w:styleId="Akapitzlist">
    <w:name w:val="List Paragraph"/>
    <w:basedOn w:val="Normalny"/>
    <w:uiPriority w:val="99"/>
    <w:qFormat/>
    <w:rsid w:val="00C9412C"/>
    <w:pPr>
      <w:ind w:left="720"/>
    </w:pPr>
    <w:rPr>
      <w:rFonts w:eastAsia="Calibri"/>
    </w:rPr>
  </w:style>
  <w:style w:type="paragraph" w:customStyle="1" w:styleId="Pytania">
    <w:name w:val="Pytania"/>
    <w:basedOn w:val="Tekstpodstawowy"/>
    <w:uiPriority w:val="99"/>
    <w:rsid w:val="00C9412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lang w:eastAsia="pl-PL"/>
    </w:rPr>
  </w:style>
  <w:style w:type="paragraph" w:customStyle="1" w:styleId="Odpowiedzi">
    <w:name w:val="Odpowiedzi"/>
    <w:basedOn w:val="Normalny"/>
    <w:uiPriority w:val="99"/>
    <w:rsid w:val="00C9412C"/>
    <w:pPr>
      <w:spacing w:before="40" w:after="40" w:line="240" w:lineRule="auto"/>
    </w:pPr>
    <w:rPr>
      <w:rFonts w:eastAsia="Calibri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b/>
      <w:bCs/>
      <w:lang w:eastAsia="pl-PL"/>
    </w:rPr>
  </w:style>
  <w:style w:type="paragraph" w:customStyle="1" w:styleId="Cele">
    <w:name w:val="Cele"/>
    <w:basedOn w:val="Tekstpodstawowy"/>
    <w:uiPriority w:val="99"/>
    <w:rsid w:val="00C9412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lang w:eastAsia="pl-PL"/>
    </w:rPr>
  </w:style>
  <w:style w:type="paragraph" w:customStyle="1" w:styleId="Nagwkitablic">
    <w:name w:val="Nagłówki tablic"/>
    <w:basedOn w:val="Tekstpodstawowy"/>
    <w:uiPriority w:val="99"/>
    <w:rsid w:val="00C9412C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C9412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9412C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C9412C"/>
    <w:pPr>
      <w:spacing w:after="120"/>
    </w:pPr>
    <w:rPr>
      <w:rFonts w:eastAsia="Calibri"/>
      <w:sz w:val="20"/>
      <w:szCs w:val="20"/>
      <w:lang w:eastAsia="ko-KR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9412C"/>
    <w:rPr>
      <w:rFonts w:ascii="Calibri" w:hAnsi="Calibri" w:cs="Calibri"/>
    </w:rPr>
  </w:style>
  <w:style w:type="table" w:styleId="Tabela-Siatka">
    <w:name w:val="Table Grid"/>
    <w:basedOn w:val="Standardowy"/>
    <w:uiPriority w:val="99"/>
    <w:rsid w:val="00C9412C"/>
    <w:rPr>
      <w:rFonts w:ascii="Cambria" w:hAnsi="Cambria"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99"/>
    <w:qFormat/>
    <w:locked/>
    <w:rsid w:val="006F300A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57E9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833E5"/>
    <w:rPr>
      <w:rFonts w:eastAsia="Times New Roman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rsid w:val="00457E93"/>
    <w:rPr>
      <w:vertAlign w:val="superscript"/>
    </w:rPr>
  </w:style>
  <w:style w:type="character" w:styleId="Hipercze">
    <w:name w:val="Hyperlink"/>
    <w:basedOn w:val="Domylnaczcionkaakapitu"/>
    <w:uiPriority w:val="99"/>
    <w:rsid w:val="007040D8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5009B4"/>
    <w:pPr>
      <w:ind w:left="720"/>
    </w:pPr>
  </w:style>
  <w:style w:type="paragraph" w:customStyle="1" w:styleId="paragraph">
    <w:name w:val="paragraph"/>
    <w:basedOn w:val="Normalny"/>
    <w:rsid w:val="00F6318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F63183"/>
  </w:style>
  <w:style w:type="character" w:customStyle="1" w:styleId="spellingerror">
    <w:name w:val="spellingerror"/>
    <w:basedOn w:val="Domylnaczcionkaakapitu"/>
    <w:rsid w:val="00F63183"/>
  </w:style>
  <w:style w:type="character" w:customStyle="1" w:styleId="eop">
    <w:name w:val="eop"/>
    <w:basedOn w:val="Domylnaczcionkaakapitu"/>
    <w:rsid w:val="00F631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ksiegarnia.beck.pl/autorzy/malgorzata-gorzalczynska-koczkodaj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siegarnia.beck.pl/autorzy/magdalena-ziol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siegarnia.beck.pl/autorzy/beata-filipiak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ksiegarnia.beck.pl/autorzy/marek-dylewsk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4B1A99-3460-458A-8D12-05C94BEC70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221620-BA1B-436D-AFE9-0815946709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C7211C-8849-4EA8-8A71-6F33D406DE0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1534</Words>
  <Characters>9208</Characters>
  <Application>Microsoft Office Word</Application>
  <DocSecurity>0</DocSecurity>
  <Lines>76</Lines>
  <Paragraphs>21</Paragraphs>
  <ScaleCrop>false</ScaleCrop>
  <Company>Hewlett-Packard</Company>
  <LinksUpToDate>false</LinksUpToDate>
  <CharactersWithSpaces>10721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Paulina Filip</dc:creator>
  <cp:keywords/>
  <dc:description/>
  <cp:lastModifiedBy>User</cp:lastModifiedBy>
  <cp:revision>20</cp:revision>
  <dcterms:created xsi:type="dcterms:W3CDTF">2020-11-17T07:23:00Z</dcterms:created>
  <dcterms:modified xsi:type="dcterms:W3CDTF">2024-01-24T08:58:00Z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