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CF196" w14:textId="77777777" w:rsidR="00B46D79" w:rsidRPr="00E960BB" w:rsidRDefault="00CD6897" w:rsidP="00B46D7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6D79" w:rsidRPr="00E960BB">
        <w:rPr>
          <w:rFonts w:ascii="Corbel" w:hAnsi="Corbel"/>
          <w:bCs/>
          <w:i/>
        </w:rPr>
        <w:t xml:space="preserve">Załącznik nr 1.5 do Zarządzenia Rektora UR  nr </w:t>
      </w:r>
      <w:r w:rsidR="00B46D79">
        <w:rPr>
          <w:rFonts w:ascii="Corbel" w:hAnsi="Corbel"/>
          <w:bCs/>
          <w:i/>
        </w:rPr>
        <w:t>7</w:t>
      </w:r>
      <w:r w:rsidR="00B46D79" w:rsidRPr="00E960BB">
        <w:rPr>
          <w:rFonts w:ascii="Corbel" w:hAnsi="Corbel"/>
          <w:bCs/>
          <w:i/>
        </w:rPr>
        <w:t>/20</w:t>
      </w:r>
      <w:r w:rsidR="00B46D79">
        <w:rPr>
          <w:rFonts w:ascii="Corbel" w:hAnsi="Corbel"/>
          <w:bCs/>
          <w:i/>
        </w:rPr>
        <w:t>23</w:t>
      </w:r>
    </w:p>
    <w:p w14:paraId="47D4178D" w14:textId="1BBE88A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67502F14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A299B">
        <w:rPr>
          <w:rFonts w:ascii="Corbel" w:hAnsi="Corbel"/>
          <w:i/>
          <w:smallCaps/>
          <w:sz w:val="24"/>
          <w:szCs w:val="24"/>
        </w:rPr>
        <w:t>202</w:t>
      </w:r>
      <w:r w:rsidR="00B851AC">
        <w:rPr>
          <w:rFonts w:ascii="Corbel" w:hAnsi="Corbel"/>
          <w:i/>
          <w:smallCaps/>
          <w:sz w:val="24"/>
          <w:szCs w:val="24"/>
        </w:rPr>
        <w:t>3</w:t>
      </w:r>
      <w:r w:rsidR="008A299B">
        <w:rPr>
          <w:rFonts w:ascii="Corbel" w:hAnsi="Corbel"/>
          <w:i/>
          <w:smallCaps/>
          <w:sz w:val="24"/>
          <w:szCs w:val="24"/>
        </w:rPr>
        <w:t>-202</w:t>
      </w:r>
      <w:r w:rsidR="00B851AC">
        <w:rPr>
          <w:rFonts w:ascii="Corbel" w:hAnsi="Corbel"/>
          <w:i/>
          <w:smallCaps/>
          <w:sz w:val="24"/>
          <w:szCs w:val="24"/>
        </w:rPr>
        <w:t>6</w:t>
      </w:r>
    </w:p>
    <w:p w14:paraId="370136D6" w14:textId="733A9113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B851AC">
        <w:rPr>
          <w:rFonts w:ascii="Corbel" w:hAnsi="Corbel"/>
          <w:sz w:val="20"/>
          <w:szCs w:val="20"/>
        </w:rPr>
        <w:t>4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B851AC">
        <w:rPr>
          <w:rFonts w:ascii="Corbel" w:hAnsi="Corbel"/>
          <w:sz w:val="20"/>
          <w:szCs w:val="20"/>
        </w:rPr>
        <w:t>25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5AE0964B" w:rsidR="0085747A" w:rsidRPr="009A0326" w:rsidRDefault="009A0326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03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0BEF7E5A" w:rsidR="00015B8F" w:rsidRPr="009C54AE" w:rsidRDefault="009A0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22C80C20" w:rsidR="00015B8F" w:rsidRPr="009C54AE" w:rsidRDefault="00A866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2E3AD88E" w:rsidR="00015B8F" w:rsidRPr="009C54AE" w:rsidRDefault="00A866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80E67AA" w14:textId="43A7A2A4" w:rsidR="00E22FBC" w:rsidRPr="005E2AC5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2B0937">
        <w:rPr>
          <w:rFonts w:ascii="Corbel" w:hAnsi="Corbel"/>
          <w:b w:val="0"/>
          <w:bCs/>
          <w:smallCaps w:val="0"/>
          <w:szCs w:val="24"/>
        </w:rPr>
        <w:t xml:space="preserve">        Wykład zaliczenie bez oceny</w:t>
      </w:r>
      <w:r w:rsidR="002B0937">
        <w:rPr>
          <w:rFonts w:ascii="Corbel" w:hAnsi="Corbel"/>
          <w:b w:val="0"/>
          <w:bCs/>
          <w:smallCaps w:val="0"/>
          <w:szCs w:val="24"/>
        </w:rPr>
        <w:br/>
        <w:t xml:space="preserve">Ćwiczenia </w:t>
      </w:r>
      <w:r w:rsidRPr="005E2AC5">
        <w:rPr>
          <w:rFonts w:ascii="Corbel" w:hAnsi="Corbel"/>
          <w:b w:val="0"/>
          <w:bCs/>
          <w:smallCaps w:val="0"/>
          <w:szCs w:val="24"/>
        </w:rPr>
        <w:t>zaliczenie z oceną</w:t>
      </w:r>
      <w:bookmarkStart w:id="1" w:name="_GoBack"/>
      <w:bookmarkEnd w:id="1"/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6A0E594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1D889C20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7A80416C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263C83A1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5ED92EFF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F5F7D93" w14:textId="539211DB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 oraz konfrontowania wiedzy z </w:t>
            </w:r>
            <w:r w:rsidRPr="00150EBF">
              <w:rPr>
                <w:rFonts w:ascii="Corbel" w:hAnsi="Corbel"/>
              </w:rPr>
              <w:lastRenderedPageBreak/>
              <w:t xml:space="preserve">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7F2858DD" w14:textId="77777777" w:rsidR="00F35AD3" w:rsidRPr="00144382" w:rsidRDefault="00F35AD3" w:rsidP="00F35AD3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49E62194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1CA2F805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331195B5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44A91BF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</w:t>
            </w:r>
            <w:r w:rsidRPr="00144382">
              <w:rPr>
                <w:rFonts w:ascii="Corbel" w:hAnsi="Corbel"/>
              </w:rPr>
              <w:t>rodzaje marketingu.</w:t>
            </w:r>
          </w:p>
          <w:p w14:paraId="26A1C89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27981840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makrootoczeniu i ich konsekwencje marketingowe, </w:t>
            </w:r>
          </w:p>
          <w:p w14:paraId="10E72439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0E655170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5FF1E80A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5E5FA3DE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postaw i  zachowań współczesnego konsumenta,</w:t>
            </w:r>
          </w:p>
          <w:p w14:paraId="161E6C7E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2834E66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- </w:t>
            </w:r>
            <w:r w:rsidRPr="00144382">
              <w:rPr>
                <w:rFonts w:ascii="Corbel" w:hAnsi="Corbel"/>
              </w:rPr>
              <w:t>kryteria podziału konsumentów – ich  cechy  i zachowania rynkowe.</w:t>
            </w:r>
          </w:p>
          <w:p w14:paraId="1076F175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3E19BD4B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7C7FAB07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48D12201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1A1260F3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4E1E02EC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7062FDDC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4CECC6C6" w:rsidR="00F35AD3" w:rsidRPr="009C54AE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7F630B3A" w14:textId="77777777" w:rsidR="0085747A" w:rsidRDefault="0085747A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E320B4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4C6A83A3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-analiza otoczenia organizacji wspomagająca wybór  obszaru, branży  i profilu  działania</w:t>
            </w:r>
            <w:r>
              <w:rPr>
                <w:rFonts w:ascii="Corbel" w:hAnsi="Corbel"/>
              </w:rPr>
              <w:t xml:space="preserve"> (PESTEL)</w:t>
            </w:r>
            <w:r w:rsidRPr="004D5A43">
              <w:rPr>
                <w:rFonts w:ascii="Corbel" w:hAnsi="Corbel"/>
              </w:rPr>
              <w:t xml:space="preserve">  </w:t>
            </w:r>
          </w:p>
          <w:p w14:paraId="2D48F3C9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- czynniki  sprzyjające i hamujące rozwój planowanego przedsięwzięcia z perspektywy  klienta </w:t>
            </w:r>
          </w:p>
          <w:p w14:paraId="62BD2B40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E313029" w14:textId="77777777" w:rsidR="00F35AD3" w:rsidRPr="004D5A43" w:rsidRDefault="00F35AD3" w:rsidP="00F35AD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Segmentacja i wybór rynku docelowego (na przykładach):  procedura i znaczenie segmentacji,</w:t>
            </w:r>
          </w:p>
          <w:p w14:paraId="10115CAE" w14:textId="77777777" w:rsidR="00F35AD3" w:rsidRPr="004D5A43" w:rsidRDefault="00F35AD3" w:rsidP="00F35AD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zastosowanie różnych kryteriów segmentacji dla różnych typów produktów, tworzenie segmentów rynkowych, wybór rynku docelowego,  profil docelowego klienta  a jego oczekiwania  - analiza postaw i zachowań</w:t>
            </w:r>
          </w:p>
          <w:p w14:paraId="051D3324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C3F9AD5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</w:t>
            </w:r>
            <w:r>
              <w:rPr>
                <w:rFonts w:ascii="Corbel" w:hAnsi="Corbel"/>
              </w:rPr>
              <w:t xml:space="preserve">opakowanie produktu, wprowadzenie na rynek, </w:t>
            </w:r>
            <w:r w:rsidRPr="004D5A43">
              <w:rPr>
                <w:rFonts w:ascii="Corbel" w:hAnsi="Corbel"/>
              </w:rPr>
              <w:t xml:space="preserve">pozycjonowanie produktu, </w:t>
            </w:r>
          </w:p>
          <w:p w14:paraId="3F23C468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5A329A41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lastRenderedPageBreak/>
              <w:t xml:space="preserve"> 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62548C99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0A2B361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5CC87C5C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B4E429" w14:textId="1257B363" w:rsidR="00F35AD3" w:rsidRPr="009C54AE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4382">
              <w:rPr>
                <w:rFonts w:ascii="Corbel" w:hAnsi="Corbel"/>
              </w:rPr>
              <w:t>Kształtowanie strategii promocyjnej (na przykładach):</w:t>
            </w:r>
            <w:r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</w:t>
            </w:r>
            <w:r>
              <w:rPr>
                <w:rFonts w:ascii="Corbel" w:hAnsi="Corbel"/>
              </w:rPr>
              <w:t xml:space="preserve"> </w:t>
            </w:r>
            <w:r w:rsidRPr="00144382">
              <w:rPr>
                <w:rFonts w:ascii="Corbel" w:hAnsi="Corbel"/>
              </w:rPr>
              <w:t>opracowanie sloganu reklamowego</w:t>
            </w:r>
            <w:r>
              <w:rPr>
                <w:rFonts w:ascii="Corbel" w:hAnsi="Corbel"/>
              </w:rPr>
              <w:t xml:space="preserve">, reklama w sieci, pozycjonowanie stron internetowych (SEO, SEM), </w:t>
            </w:r>
            <w:r w:rsidRPr="00144382">
              <w:rPr>
                <w:rFonts w:ascii="Corbel" w:hAnsi="Corbel"/>
              </w:rPr>
              <w:t xml:space="preserve">   badanie skuteczności i efektywności działań promocyjnych.</w:t>
            </w:r>
            <w:r>
              <w:rPr>
                <w:rFonts w:ascii="Corbel" w:hAnsi="Corbel"/>
              </w:rPr>
              <w:t xml:space="preserve">   </w:t>
            </w: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r w:rsidR="00305760" w:rsidRPr="001C51C5">
        <w:rPr>
          <w:rFonts w:ascii="Corbel" w:hAnsi="Corbel"/>
        </w:rPr>
        <w:t xml:space="preserve">case study,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AD3" w:rsidRPr="009C54AE" w14:paraId="7E6A9548" w14:textId="77777777" w:rsidTr="00C05F44">
        <w:tc>
          <w:tcPr>
            <w:tcW w:w="1985" w:type="dxa"/>
          </w:tcPr>
          <w:p w14:paraId="545C1D73" w14:textId="0C50BD53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6CE2B70A" w14:textId="107BC86F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case study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5094FAE9" w14:textId="77C51566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35AD3" w:rsidRPr="009C54AE" w14:paraId="57E46BCF" w14:textId="77777777" w:rsidTr="00C05F44">
        <w:tc>
          <w:tcPr>
            <w:tcW w:w="1985" w:type="dxa"/>
          </w:tcPr>
          <w:p w14:paraId="59EDE6C9" w14:textId="5ED2EA68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14:paraId="16BBA223" w14:textId="5C777777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zaliczeniowy, case study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3747C885" w14:textId="6E2EE858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35AD3" w:rsidRPr="009C54AE" w14:paraId="23860BE6" w14:textId="77777777" w:rsidTr="00C05F44">
        <w:tc>
          <w:tcPr>
            <w:tcW w:w="1985" w:type="dxa"/>
          </w:tcPr>
          <w:p w14:paraId="7108C7B4" w14:textId="18946930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8E2269E" w14:textId="10941B99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16F080B3" w14:textId="1CF38929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35AD3" w:rsidRPr="009C54AE" w14:paraId="133A1796" w14:textId="77777777" w:rsidTr="00C05F44">
        <w:tc>
          <w:tcPr>
            <w:tcW w:w="1985" w:type="dxa"/>
          </w:tcPr>
          <w:p w14:paraId="68834B39" w14:textId="45E1B5CC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0FE9AD4A" w14:textId="7F082D05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12A9B2B9" w14:textId="77B417D1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35AD3" w:rsidRPr="009C54AE" w14:paraId="16CB5500" w14:textId="77777777" w:rsidTr="00C05F44">
        <w:tc>
          <w:tcPr>
            <w:tcW w:w="1985" w:type="dxa"/>
          </w:tcPr>
          <w:p w14:paraId="36A787B2" w14:textId="5302A8A2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0D85F7" w14:textId="280C247F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 study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25D92774" w14:textId="74E0E736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oraz prezentowania praktycznych 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51D0AEA" w:rsidR="0085747A" w:rsidRPr="009C54AE" w:rsidRDefault="00C61DC5" w:rsidP="00B46D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0FB843DF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0110F9D3" w:rsidR="00C61DC5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096AD3B" w14:textId="3094B04A" w:rsidR="00EF282A" w:rsidRDefault="009A032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35AD3">
              <w:rPr>
                <w:rFonts w:ascii="Corbel" w:hAnsi="Corbel"/>
                <w:sz w:val="24"/>
                <w:szCs w:val="24"/>
              </w:rPr>
              <w:t>5</w:t>
            </w:r>
          </w:p>
          <w:p w14:paraId="0F80A819" w14:textId="7B112181" w:rsidR="00EF282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700D4FAA" w14:textId="0CF8938B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51BD90E3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A. 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R.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Niestrój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Kuźniar W., Surmacz T, Szopiński W. 2017. Wirtualizacja konsumpcji i jej oddziaływanie na kształtowanie postaw i zachowań prosumpcyjnych wśród młodych konsumentów, Annales Universitatis Mariae Curie-Skłodowska, Sectio H Oeconomia,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4E8FA" w14:textId="77777777" w:rsidR="006160F4" w:rsidRDefault="006160F4" w:rsidP="00C16ABF">
      <w:pPr>
        <w:spacing w:after="0" w:line="240" w:lineRule="auto"/>
      </w:pPr>
      <w:r>
        <w:separator/>
      </w:r>
    </w:p>
  </w:endnote>
  <w:endnote w:type="continuationSeparator" w:id="0">
    <w:p w14:paraId="57C3EC3D" w14:textId="77777777" w:rsidR="006160F4" w:rsidRDefault="006160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F1D27" w14:textId="77777777" w:rsidR="006160F4" w:rsidRDefault="006160F4" w:rsidP="00C16ABF">
      <w:pPr>
        <w:spacing w:after="0" w:line="240" w:lineRule="auto"/>
      </w:pPr>
      <w:r>
        <w:separator/>
      </w:r>
    </w:p>
  </w:footnote>
  <w:footnote w:type="continuationSeparator" w:id="0">
    <w:p w14:paraId="72E0939A" w14:textId="77777777" w:rsidR="006160F4" w:rsidRDefault="006160F4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937"/>
    <w:rsid w:val="002B4D55"/>
    <w:rsid w:val="002B5EA0"/>
    <w:rsid w:val="002B6119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55B37"/>
    <w:rsid w:val="00363F78"/>
    <w:rsid w:val="003A0A5B"/>
    <w:rsid w:val="003A1176"/>
    <w:rsid w:val="003C0BAE"/>
    <w:rsid w:val="003D18A9"/>
    <w:rsid w:val="003D3D5E"/>
    <w:rsid w:val="003D6CE2"/>
    <w:rsid w:val="003E1587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60F4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2BF8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84922"/>
    <w:rsid w:val="00885F64"/>
    <w:rsid w:val="008917F9"/>
    <w:rsid w:val="008A299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84B23"/>
    <w:rsid w:val="00991867"/>
    <w:rsid w:val="00997F14"/>
    <w:rsid w:val="009A0326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6A9"/>
    <w:rsid w:val="00A43BF6"/>
    <w:rsid w:val="00A53FA5"/>
    <w:rsid w:val="00A54817"/>
    <w:rsid w:val="00A601C8"/>
    <w:rsid w:val="00A60799"/>
    <w:rsid w:val="00A776AB"/>
    <w:rsid w:val="00A84C85"/>
    <w:rsid w:val="00A86626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46D79"/>
    <w:rsid w:val="00B607DB"/>
    <w:rsid w:val="00B66529"/>
    <w:rsid w:val="00B75946"/>
    <w:rsid w:val="00B8056E"/>
    <w:rsid w:val="00B819C8"/>
    <w:rsid w:val="00B82308"/>
    <w:rsid w:val="00B851AC"/>
    <w:rsid w:val="00B90885"/>
    <w:rsid w:val="00BA0E6C"/>
    <w:rsid w:val="00BB520A"/>
    <w:rsid w:val="00BB6254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0D0"/>
    <w:rsid w:val="00C61DC5"/>
    <w:rsid w:val="00C662B7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EDF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35AD3"/>
    <w:rsid w:val="00F526AF"/>
    <w:rsid w:val="00F617C3"/>
    <w:rsid w:val="00F7066B"/>
    <w:rsid w:val="00F7703D"/>
    <w:rsid w:val="00F83B28"/>
    <w:rsid w:val="00F8499E"/>
    <w:rsid w:val="00F917B5"/>
    <w:rsid w:val="00F974DA"/>
    <w:rsid w:val="00FA46E5"/>
    <w:rsid w:val="00FA684A"/>
    <w:rsid w:val="00FB7DBA"/>
    <w:rsid w:val="00FC09B2"/>
    <w:rsid w:val="00FC1C25"/>
    <w:rsid w:val="00FC3F45"/>
    <w:rsid w:val="00FD503F"/>
    <w:rsid w:val="00FD682D"/>
    <w:rsid w:val="00FD7589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DE6E6-7BCF-4BCB-B4AE-AA1E75462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909974-18D6-4EF2-8814-2607ADA61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1335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2022-05-25T21:55:00Z</dcterms:created>
  <dcterms:modified xsi:type="dcterms:W3CDTF">2024-01-22T10:54:00Z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