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36C7B8" w14:textId="77777777" w:rsidR="00D22E34" w:rsidRDefault="00D22E34" w:rsidP="00D22E34">
      <w:pPr>
        <w:spacing w:line="240" w:lineRule="auto"/>
        <w:jc w:val="right"/>
        <w:rPr>
          <w:rFonts w:ascii="Corbel" w:hAnsi="Corbel" w:cs="Times New Roman"/>
          <w:bCs/>
          <w:i/>
        </w:rPr>
      </w:pPr>
      <w:r>
        <w:rPr>
          <w:rFonts w:ascii="Corbel" w:hAnsi="Corbel"/>
          <w:bCs/>
          <w:i/>
        </w:rPr>
        <w:t>Załącznik nr 1.5 do Zarządzenia Rektora UR  nr 7/2023</w:t>
      </w:r>
    </w:p>
    <w:p w14:paraId="5B5ACF7C" w14:textId="70BC5959" w:rsidR="00B611A5" w:rsidRPr="009C54AE" w:rsidRDefault="00B611A5" w:rsidP="005009B4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5D6BA2A" w14:textId="59BFC3D4" w:rsidR="00B611A5" w:rsidRPr="005320A0" w:rsidRDefault="00B611A5" w:rsidP="005009B4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E2572B">
        <w:rPr>
          <w:rFonts w:ascii="Corbel" w:hAnsi="Corbel"/>
          <w:i/>
          <w:smallCaps/>
          <w:sz w:val="24"/>
          <w:szCs w:val="24"/>
        </w:rPr>
        <w:t>202</w:t>
      </w:r>
      <w:r w:rsidR="00472C9A">
        <w:rPr>
          <w:rFonts w:ascii="Corbel" w:hAnsi="Corbel"/>
          <w:i/>
          <w:smallCaps/>
          <w:sz w:val="24"/>
          <w:szCs w:val="24"/>
        </w:rPr>
        <w:t>3</w:t>
      </w:r>
      <w:r w:rsidR="00E2572B">
        <w:rPr>
          <w:rFonts w:ascii="Corbel" w:hAnsi="Corbel"/>
          <w:i/>
          <w:smallCaps/>
          <w:sz w:val="24"/>
          <w:szCs w:val="24"/>
        </w:rPr>
        <w:t>-202</w:t>
      </w:r>
      <w:r w:rsidR="00472C9A">
        <w:rPr>
          <w:rFonts w:ascii="Corbel" w:hAnsi="Corbel"/>
          <w:i/>
          <w:smallCaps/>
          <w:sz w:val="24"/>
          <w:szCs w:val="24"/>
        </w:rPr>
        <w:t>6</w:t>
      </w:r>
    </w:p>
    <w:p w14:paraId="695943AD" w14:textId="3E3860E5" w:rsidR="00B611A5" w:rsidRPr="00D12BEC" w:rsidRDefault="00934202" w:rsidP="00D77C3A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 xml:space="preserve">Rok akademicki </w:t>
      </w:r>
      <w:r w:rsidR="00B611A5" w:rsidRPr="00D12BEC">
        <w:rPr>
          <w:rFonts w:ascii="Corbel" w:hAnsi="Corbel" w:cs="Corbel"/>
          <w:sz w:val="20"/>
          <w:szCs w:val="20"/>
        </w:rPr>
        <w:t>202</w:t>
      </w:r>
      <w:r w:rsidR="00472C9A">
        <w:rPr>
          <w:rFonts w:ascii="Corbel" w:hAnsi="Corbel" w:cs="Corbel"/>
          <w:sz w:val="20"/>
          <w:szCs w:val="20"/>
        </w:rPr>
        <w:t>4</w:t>
      </w:r>
      <w:r w:rsidR="00424F45">
        <w:rPr>
          <w:rFonts w:ascii="Corbel" w:hAnsi="Corbel" w:cs="Corbel"/>
          <w:sz w:val="20"/>
          <w:szCs w:val="20"/>
        </w:rPr>
        <w:t>/</w:t>
      </w:r>
      <w:r w:rsidR="00B611A5" w:rsidRPr="00D12BEC">
        <w:rPr>
          <w:rFonts w:ascii="Corbel" w:hAnsi="Corbel" w:cs="Corbel"/>
          <w:sz w:val="20"/>
          <w:szCs w:val="20"/>
        </w:rPr>
        <w:t>202</w:t>
      </w:r>
      <w:r w:rsidR="00472C9A">
        <w:rPr>
          <w:rFonts w:ascii="Corbel" w:hAnsi="Corbel" w:cs="Corbel"/>
          <w:sz w:val="20"/>
          <w:szCs w:val="20"/>
        </w:rPr>
        <w:t>5</w:t>
      </w:r>
    </w:p>
    <w:p w14:paraId="20863EBB" w14:textId="77777777" w:rsidR="00B611A5" w:rsidRPr="009C54AE" w:rsidRDefault="00B611A5" w:rsidP="005009B4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59216193" w14:textId="77777777" w:rsidR="00B611A5" w:rsidRPr="009C78D6" w:rsidRDefault="00B611A5" w:rsidP="005009B4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611A5" w:rsidRPr="009C54AE" w14:paraId="1CD75D31" w14:textId="77777777" w:rsidTr="000E7716">
        <w:tc>
          <w:tcPr>
            <w:tcW w:w="2694" w:type="dxa"/>
            <w:vAlign w:val="center"/>
          </w:tcPr>
          <w:p w14:paraId="70A935D7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6837976" w14:textId="77777777" w:rsidR="00B611A5" w:rsidRPr="000E7716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771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Finanse jednostek sektora publicznego</w:t>
            </w:r>
          </w:p>
        </w:tc>
      </w:tr>
      <w:tr w:rsidR="00B611A5" w:rsidRPr="009C54AE" w14:paraId="41672023" w14:textId="77777777" w:rsidTr="000E7716">
        <w:tc>
          <w:tcPr>
            <w:tcW w:w="2694" w:type="dxa"/>
            <w:vAlign w:val="center"/>
          </w:tcPr>
          <w:p w14:paraId="0D1ED28E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2805C70" w14:textId="52E3915F" w:rsidR="00B611A5" w:rsidRPr="000E7716" w:rsidRDefault="00934202" w:rsidP="00455066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E/I/EiZSP/C.2</w:t>
            </w:r>
          </w:p>
        </w:tc>
      </w:tr>
      <w:tr w:rsidR="00B611A5" w:rsidRPr="009C54AE" w14:paraId="51696FAB" w14:textId="77777777" w:rsidTr="000E7716">
        <w:tc>
          <w:tcPr>
            <w:tcW w:w="2694" w:type="dxa"/>
            <w:vAlign w:val="center"/>
          </w:tcPr>
          <w:p w14:paraId="2C48A47A" w14:textId="77777777" w:rsidR="00B611A5" w:rsidRPr="00A40AEA" w:rsidRDefault="00B611A5" w:rsidP="00455066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9DA93EA" w14:textId="77777777" w:rsidR="00B611A5" w:rsidRPr="00A40AEA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611A5" w:rsidRPr="009C54AE" w14:paraId="65F3776E" w14:textId="77777777" w:rsidTr="000E7716">
        <w:tc>
          <w:tcPr>
            <w:tcW w:w="2694" w:type="dxa"/>
            <w:vAlign w:val="center"/>
          </w:tcPr>
          <w:p w14:paraId="54EDD01B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55859C" w14:textId="7F46C4C2" w:rsidR="00B611A5" w:rsidRPr="00A40AEA" w:rsidRDefault="006F6A9F" w:rsidP="00455066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611A5" w:rsidRPr="009C54AE" w14:paraId="460256D1" w14:textId="77777777" w:rsidTr="000E7716">
        <w:tc>
          <w:tcPr>
            <w:tcW w:w="2694" w:type="dxa"/>
            <w:vAlign w:val="center"/>
          </w:tcPr>
          <w:p w14:paraId="483994EC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412F308" w14:textId="77777777" w:rsidR="00B611A5" w:rsidRPr="00A40AEA" w:rsidRDefault="00B611A5" w:rsidP="00455066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B611A5" w:rsidRPr="009C54AE" w14:paraId="074BEEA6" w14:textId="77777777" w:rsidTr="000E7716">
        <w:tc>
          <w:tcPr>
            <w:tcW w:w="2694" w:type="dxa"/>
            <w:vAlign w:val="center"/>
          </w:tcPr>
          <w:p w14:paraId="62C972C1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544465B" w14:textId="6959BF72" w:rsidR="00B611A5" w:rsidRPr="00A40AEA" w:rsidRDefault="006F6A9F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Pierwszego stopnia</w:t>
            </w:r>
          </w:p>
        </w:tc>
      </w:tr>
      <w:tr w:rsidR="00B611A5" w:rsidRPr="009C54AE" w14:paraId="52A62C3B" w14:textId="77777777" w:rsidTr="000E7716">
        <w:tc>
          <w:tcPr>
            <w:tcW w:w="2694" w:type="dxa"/>
            <w:vAlign w:val="center"/>
          </w:tcPr>
          <w:p w14:paraId="070F04C4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3677FE" w14:textId="77777777" w:rsidR="00B611A5" w:rsidRPr="00A40AEA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B611A5" w:rsidRPr="009C54AE" w14:paraId="6CA3606D" w14:textId="77777777" w:rsidTr="000E7716">
        <w:tc>
          <w:tcPr>
            <w:tcW w:w="2694" w:type="dxa"/>
            <w:vAlign w:val="center"/>
          </w:tcPr>
          <w:p w14:paraId="4BFBAEEC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726542" w14:textId="3ACD4E17" w:rsidR="00B611A5" w:rsidRPr="00A40AEA" w:rsidRDefault="00E21860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</w:t>
            </w:r>
            <w:r w:rsidR="00B611A5"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B611A5" w:rsidRPr="009C54AE" w14:paraId="4CFE467E" w14:textId="77777777" w:rsidTr="000E7716">
        <w:tc>
          <w:tcPr>
            <w:tcW w:w="2694" w:type="dxa"/>
            <w:vAlign w:val="center"/>
          </w:tcPr>
          <w:p w14:paraId="52B7326D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916711D" w14:textId="61BAC5B6" w:rsidR="00B611A5" w:rsidRPr="00A40AEA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</w:t>
            </w:r>
            <w:r w:rsidR="0093420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B611A5" w:rsidRPr="009C54AE" w14:paraId="6E193BBC" w14:textId="77777777" w:rsidTr="000E7716">
        <w:tc>
          <w:tcPr>
            <w:tcW w:w="2694" w:type="dxa"/>
            <w:vAlign w:val="center"/>
          </w:tcPr>
          <w:p w14:paraId="51E32B43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2FF7ADD" w14:textId="2279C4C0" w:rsidR="00B611A5" w:rsidRPr="00A40AEA" w:rsidRDefault="00934F8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B611A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pecjalnościowy</w:t>
            </w:r>
          </w:p>
        </w:tc>
      </w:tr>
      <w:tr w:rsidR="00B611A5" w:rsidRPr="009C54AE" w14:paraId="5DBE4709" w14:textId="77777777" w:rsidTr="000E7716">
        <w:tc>
          <w:tcPr>
            <w:tcW w:w="2694" w:type="dxa"/>
            <w:vAlign w:val="center"/>
          </w:tcPr>
          <w:p w14:paraId="59159820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C79F525" w14:textId="77777777" w:rsidR="00B611A5" w:rsidRPr="00A40AEA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611A5" w:rsidRPr="00EF5884" w14:paraId="38D6D674" w14:textId="77777777" w:rsidTr="000E7716">
        <w:tc>
          <w:tcPr>
            <w:tcW w:w="2694" w:type="dxa"/>
            <w:vAlign w:val="center"/>
          </w:tcPr>
          <w:p w14:paraId="67B7FFC1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8DB8700" w14:textId="77777777" w:rsidR="00B611A5" w:rsidRPr="00A40AEA" w:rsidRDefault="00B611A5" w:rsidP="00455066">
            <w:pPr>
              <w:pStyle w:val="Podpunkty"/>
              <w:ind w:left="4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B611A5" w:rsidRPr="009C54AE" w14:paraId="0D2084DF" w14:textId="77777777" w:rsidTr="000E7716">
        <w:tc>
          <w:tcPr>
            <w:tcW w:w="2694" w:type="dxa"/>
            <w:vAlign w:val="center"/>
          </w:tcPr>
          <w:p w14:paraId="24EDF69C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81A89AD" w14:textId="4E21D118" w:rsidR="00B611A5" w:rsidRPr="00A40AEA" w:rsidRDefault="00934F8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</w:tbl>
    <w:p w14:paraId="33961C61" w14:textId="3B4EC2A6" w:rsidR="00B611A5" w:rsidRDefault="000E7716" w:rsidP="000E7716">
      <w:pPr>
        <w:spacing w:after="0" w:line="240" w:lineRule="auto"/>
        <w:jc w:val="both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i/>
          <w:sz w:val="24"/>
          <w:szCs w:val="24"/>
        </w:rPr>
        <w:t>opcjonalni</w:t>
      </w:r>
      <w:r w:rsidRPr="00B90885">
        <w:rPr>
          <w:rFonts w:ascii="Corbel" w:hAnsi="Corbel"/>
          <w:sz w:val="24"/>
          <w:szCs w:val="24"/>
        </w:rPr>
        <w:t>e,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i/>
          <w:sz w:val="24"/>
          <w:szCs w:val="24"/>
        </w:rPr>
        <w:t xml:space="preserve">zgodnie z ustaleniami </w:t>
      </w:r>
      <w:r>
        <w:rPr>
          <w:rFonts w:ascii="Corbel" w:hAnsi="Corbel"/>
          <w:i/>
          <w:sz w:val="24"/>
          <w:szCs w:val="24"/>
        </w:rPr>
        <w:t>w Jednostce</w:t>
      </w:r>
    </w:p>
    <w:p w14:paraId="20CB8603" w14:textId="77777777" w:rsidR="00B611A5" w:rsidRPr="009C54AE" w:rsidRDefault="00B611A5" w:rsidP="00C9412C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3AE0F396" w14:textId="77777777" w:rsidR="00B611A5" w:rsidRPr="00123B7B" w:rsidRDefault="00B611A5" w:rsidP="00C9412C">
      <w:pPr>
        <w:pStyle w:val="Podpunkty"/>
        <w:ind w:left="284"/>
        <w:rPr>
          <w:rFonts w:ascii="Corbel" w:hAnsi="Corbel" w:cs="Corbel"/>
          <w:sz w:val="22"/>
          <w:szCs w:val="22"/>
        </w:rPr>
      </w:pPr>
      <w:r w:rsidRPr="00123B7B">
        <w:rPr>
          <w:rFonts w:ascii="Corbel" w:hAnsi="Corbel" w:cs="Corbel"/>
          <w:sz w:val="22"/>
          <w:szCs w:val="22"/>
        </w:rPr>
        <w:t xml:space="preserve">1.1.Formy zajęć dydaktycznych, wymiar godzin i punktów ECTS </w:t>
      </w:r>
    </w:p>
    <w:p w14:paraId="62ED9ACE" w14:textId="77777777" w:rsidR="00B611A5" w:rsidRPr="00123B7B" w:rsidRDefault="00B611A5" w:rsidP="00C9412C">
      <w:pPr>
        <w:pStyle w:val="Podpunkty"/>
        <w:ind w:left="0"/>
        <w:rPr>
          <w:rFonts w:ascii="Corbel" w:hAnsi="Corbel" w:cs="Corbel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8"/>
        <w:gridCol w:w="932"/>
        <w:gridCol w:w="819"/>
        <w:gridCol w:w="851"/>
        <w:gridCol w:w="824"/>
        <w:gridCol w:w="835"/>
        <w:gridCol w:w="804"/>
        <w:gridCol w:w="969"/>
        <w:gridCol w:w="1230"/>
        <w:gridCol w:w="1718"/>
      </w:tblGrid>
      <w:tr w:rsidR="00B611A5" w:rsidRPr="00123B7B" w14:paraId="1D7326C9" w14:textId="77777777">
        <w:tc>
          <w:tcPr>
            <w:tcW w:w="862" w:type="dxa"/>
          </w:tcPr>
          <w:p w14:paraId="5058BE75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Semestr</w:t>
            </w:r>
          </w:p>
          <w:p w14:paraId="778F5E60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(nr)</w:t>
            </w:r>
          </w:p>
        </w:tc>
        <w:tc>
          <w:tcPr>
            <w:tcW w:w="933" w:type="dxa"/>
            <w:vAlign w:val="center"/>
          </w:tcPr>
          <w:p w14:paraId="52247AD7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Wykł.</w:t>
            </w:r>
          </w:p>
        </w:tc>
        <w:tc>
          <w:tcPr>
            <w:tcW w:w="820" w:type="dxa"/>
            <w:vAlign w:val="center"/>
          </w:tcPr>
          <w:p w14:paraId="5C896E95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1F643A39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Konw.</w:t>
            </w:r>
          </w:p>
        </w:tc>
        <w:tc>
          <w:tcPr>
            <w:tcW w:w="825" w:type="dxa"/>
            <w:vAlign w:val="center"/>
          </w:tcPr>
          <w:p w14:paraId="631A6C5B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Lab.</w:t>
            </w:r>
          </w:p>
        </w:tc>
        <w:tc>
          <w:tcPr>
            <w:tcW w:w="836" w:type="dxa"/>
            <w:vAlign w:val="center"/>
          </w:tcPr>
          <w:p w14:paraId="07BBBC20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Sem.</w:t>
            </w:r>
          </w:p>
        </w:tc>
        <w:tc>
          <w:tcPr>
            <w:tcW w:w="805" w:type="dxa"/>
            <w:vAlign w:val="center"/>
          </w:tcPr>
          <w:p w14:paraId="482CBBAA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ZP</w:t>
            </w:r>
          </w:p>
        </w:tc>
        <w:tc>
          <w:tcPr>
            <w:tcW w:w="970" w:type="dxa"/>
            <w:vAlign w:val="center"/>
          </w:tcPr>
          <w:p w14:paraId="772850C1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Prakt.</w:t>
            </w:r>
          </w:p>
        </w:tc>
        <w:tc>
          <w:tcPr>
            <w:tcW w:w="1231" w:type="dxa"/>
            <w:vAlign w:val="center"/>
          </w:tcPr>
          <w:p w14:paraId="60AF00CF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Inne (jakie?)</w:t>
            </w:r>
          </w:p>
        </w:tc>
        <w:tc>
          <w:tcPr>
            <w:tcW w:w="1721" w:type="dxa"/>
            <w:vAlign w:val="center"/>
          </w:tcPr>
          <w:p w14:paraId="34BEF96A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b/>
                <w:bCs/>
                <w:sz w:val="22"/>
                <w:szCs w:val="22"/>
                <w:lang w:eastAsia="en-US"/>
              </w:rPr>
              <w:t>Liczba pkt ECTS</w:t>
            </w:r>
          </w:p>
        </w:tc>
      </w:tr>
      <w:tr w:rsidR="00B611A5" w:rsidRPr="00123B7B" w14:paraId="3DF92587" w14:textId="77777777">
        <w:trPr>
          <w:trHeight w:val="453"/>
        </w:trPr>
        <w:tc>
          <w:tcPr>
            <w:tcW w:w="862" w:type="dxa"/>
          </w:tcPr>
          <w:p w14:paraId="65A3A73D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123B7B">
              <w:rPr>
                <w:rFonts w:ascii="Corbel" w:hAnsi="Corbel" w:cs="Corbel"/>
                <w:sz w:val="22"/>
                <w:szCs w:val="22"/>
              </w:rPr>
              <w:t>4</w:t>
            </w:r>
          </w:p>
        </w:tc>
        <w:tc>
          <w:tcPr>
            <w:tcW w:w="933" w:type="dxa"/>
            <w:vAlign w:val="center"/>
          </w:tcPr>
          <w:p w14:paraId="5253AE2B" w14:textId="47266999" w:rsidR="00B611A5" w:rsidRPr="00123B7B" w:rsidRDefault="00E21860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>
              <w:rPr>
                <w:rFonts w:ascii="Corbel" w:hAnsi="Corbel" w:cs="Corbel"/>
                <w:sz w:val="22"/>
                <w:szCs w:val="22"/>
              </w:rPr>
              <w:t>9</w:t>
            </w:r>
          </w:p>
        </w:tc>
        <w:tc>
          <w:tcPr>
            <w:tcW w:w="820" w:type="dxa"/>
            <w:vAlign w:val="center"/>
          </w:tcPr>
          <w:p w14:paraId="6F4D8DBF" w14:textId="6506753E" w:rsidR="00B611A5" w:rsidRPr="00123B7B" w:rsidRDefault="00E21860" w:rsidP="00E21860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>
              <w:rPr>
                <w:rFonts w:ascii="Corbel" w:hAnsi="Corbel" w:cs="Corbel"/>
                <w:sz w:val="22"/>
                <w:szCs w:val="22"/>
              </w:rPr>
              <w:t>18</w:t>
            </w:r>
          </w:p>
        </w:tc>
        <w:tc>
          <w:tcPr>
            <w:tcW w:w="851" w:type="dxa"/>
            <w:vAlign w:val="center"/>
          </w:tcPr>
          <w:p w14:paraId="0D43C855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25" w:type="dxa"/>
            <w:vAlign w:val="center"/>
          </w:tcPr>
          <w:p w14:paraId="7C6926BD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36" w:type="dxa"/>
            <w:vAlign w:val="center"/>
          </w:tcPr>
          <w:p w14:paraId="690013E6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14:paraId="4308467B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970" w:type="dxa"/>
            <w:vAlign w:val="center"/>
          </w:tcPr>
          <w:p w14:paraId="2F84B40D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14:paraId="10FC289F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721" w:type="dxa"/>
            <w:vAlign w:val="center"/>
          </w:tcPr>
          <w:p w14:paraId="34AF23B2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123B7B">
              <w:rPr>
                <w:rFonts w:ascii="Corbel" w:hAnsi="Corbel" w:cs="Corbel"/>
                <w:sz w:val="22"/>
                <w:szCs w:val="22"/>
              </w:rPr>
              <w:t>4</w:t>
            </w:r>
          </w:p>
        </w:tc>
      </w:tr>
    </w:tbl>
    <w:p w14:paraId="1A2178EC" w14:textId="77777777" w:rsidR="00B611A5" w:rsidRPr="00123B7B" w:rsidRDefault="00B611A5" w:rsidP="00C9412C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</w:p>
    <w:p w14:paraId="1128B726" w14:textId="77777777" w:rsidR="00B611A5" w:rsidRPr="00123B7B" w:rsidRDefault="00B611A5" w:rsidP="00C9412C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 xml:space="preserve">1.2.  Sposób realizacji zajęć  </w:t>
      </w:r>
    </w:p>
    <w:p w14:paraId="66C9275A" w14:textId="77777777" w:rsidR="00F63183" w:rsidRDefault="00F63183" w:rsidP="00F63183">
      <w:pPr>
        <w:pStyle w:val="paragraph"/>
        <w:spacing w:before="0" w:beforeAutospacing="0" w:after="0" w:afterAutospacing="0"/>
        <w:ind w:left="426"/>
        <w:textAlignment w:val="baseline"/>
        <w:rPr>
          <w:rFonts w:ascii="Segoe UI" w:hAnsi="Segoe UI" w:cs="Segoe UI"/>
          <w:b/>
          <w:bCs/>
          <w:smallCaps/>
          <w:sz w:val="18"/>
          <w:szCs w:val="18"/>
        </w:rPr>
      </w:pPr>
      <w:r>
        <w:rPr>
          <w:rStyle w:val="normaltextrun"/>
          <w:rFonts w:ascii="Wingdings" w:hAnsi="Wingdings" w:cs="Segoe UI"/>
          <w:sz w:val="28"/>
          <w:szCs w:val="28"/>
        </w:rPr>
        <w:sym w:font="Wingdings" w:char="F0FE"/>
      </w:r>
      <w:r>
        <w:rPr>
          <w:rStyle w:val="normaltextrun"/>
          <w:rFonts w:ascii="Corbel" w:hAnsi="Corbel" w:cs="Segoe UI"/>
          <w:sz w:val="28"/>
          <w:szCs w:val="28"/>
        </w:rPr>
        <w:t> </w:t>
      </w:r>
      <w:r>
        <w:rPr>
          <w:rStyle w:val="normaltextrun"/>
          <w:rFonts w:ascii="Corbel" w:hAnsi="Corbel" w:cs="Segoe UI"/>
        </w:rPr>
        <w:t>zajęcia w formie tradycyjnej (lub zdalnie z wykorzystaniem platformy Ms </w:t>
      </w:r>
      <w:r>
        <w:rPr>
          <w:rStyle w:val="spellingerror"/>
          <w:rFonts w:ascii="Corbel" w:hAnsi="Corbel" w:cs="Segoe UI"/>
        </w:rPr>
        <w:t>Teams)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4DF79085" w14:textId="77777777" w:rsidR="00F63183" w:rsidRDefault="00F63183" w:rsidP="00F63183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</w:rPr>
      </w:pPr>
      <w:r>
        <w:rPr>
          <w:rStyle w:val="normaltextrun"/>
          <w:rFonts w:ascii="MS Gothic" w:eastAsia="MS Gothic" w:hAnsi="MS Gothic" w:cs="Segoe UI" w:hint="eastAsia"/>
          <w:smallCaps/>
        </w:rPr>
        <w:t>☐</w:t>
      </w:r>
      <w:r>
        <w:rPr>
          <w:rStyle w:val="normaltextrun"/>
          <w:rFonts w:ascii="Corbel" w:hAnsi="Corbel" w:cs="Segoe UI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551EFF5E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2137A86B" w14:textId="3480C83B" w:rsidR="00B611A5" w:rsidRPr="00123B7B" w:rsidRDefault="00B611A5" w:rsidP="00C9412C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 xml:space="preserve">1.3 Forma zaliczenia przedmiotu (z toku) </w:t>
      </w:r>
      <w:r w:rsidRPr="00123B7B">
        <w:rPr>
          <w:rFonts w:ascii="Corbel" w:hAnsi="Corbel" w:cs="Corbel"/>
          <w:b w:val="0"/>
          <w:bCs w:val="0"/>
          <w:smallCaps w:val="0"/>
          <w:sz w:val="22"/>
          <w:szCs w:val="22"/>
        </w:rPr>
        <w:t>(egzamin, zaliczenie z oceną, zaliczenie bez oceny)</w:t>
      </w:r>
    </w:p>
    <w:p w14:paraId="6F44E098" w14:textId="77777777" w:rsidR="00B611A5" w:rsidRPr="00123B7B" w:rsidRDefault="00B611A5" w:rsidP="00C9412C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40690B40" w14:textId="30DF5207" w:rsidR="00B611A5" w:rsidRPr="00123B7B" w:rsidRDefault="003F6001" w:rsidP="313AC7F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>
        <w:rPr>
          <w:rFonts w:ascii="Corbel" w:hAnsi="Corbel" w:cs="Corbel"/>
          <w:b w:val="0"/>
          <w:bCs w:val="0"/>
          <w:smallCaps w:val="0"/>
          <w:sz w:val="22"/>
          <w:szCs w:val="22"/>
        </w:rPr>
        <w:t xml:space="preserve">Wykład </w:t>
      </w:r>
      <w:bookmarkStart w:id="0" w:name="_GoBack"/>
      <w:bookmarkEnd w:id="0"/>
      <w:r w:rsidR="00B611A5" w:rsidRPr="313AC7F2">
        <w:rPr>
          <w:rFonts w:ascii="Corbel" w:hAnsi="Corbel" w:cs="Corbel"/>
          <w:b w:val="0"/>
          <w:bCs w:val="0"/>
          <w:smallCaps w:val="0"/>
          <w:sz w:val="22"/>
          <w:szCs w:val="22"/>
        </w:rPr>
        <w:t>Egzamin</w:t>
      </w:r>
      <w:r w:rsidR="0BE121EA" w:rsidRPr="313AC7F2">
        <w:rPr>
          <w:rFonts w:ascii="Corbel" w:hAnsi="Corbel" w:cs="Corbel"/>
          <w:b w:val="0"/>
          <w:bCs w:val="0"/>
          <w:smallCaps w:val="0"/>
          <w:sz w:val="22"/>
          <w:szCs w:val="22"/>
        </w:rPr>
        <w:t>, zaliczenie ćwiczeń z oceną</w:t>
      </w:r>
    </w:p>
    <w:p w14:paraId="18E15C9C" w14:textId="77777777" w:rsidR="00B611A5" w:rsidRPr="00123B7B" w:rsidRDefault="00B611A5" w:rsidP="00C9412C">
      <w:pPr>
        <w:pStyle w:val="Punktygwne"/>
        <w:spacing w:before="0" w:after="0"/>
        <w:ind w:left="9765"/>
        <w:rPr>
          <w:rFonts w:ascii="Corbel" w:hAnsi="Corbel" w:cs="Corbel"/>
          <w:smallCaps w:val="0"/>
          <w:sz w:val="22"/>
          <w:szCs w:val="22"/>
        </w:rPr>
      </w:pPr>
    </w:p>
    <w:p w14:paraId="18AA95A8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123B7B">
        <w:rPr>
          <w:rFonts w:ascii="Corbel" w:hAnsi="Corbel" w:cs="Corbel"/>
          <w:sz w:val="22"/>
          <w:szCs w:val="22"/>
        </w:rPr>
        <w:t xml:space="preserve">2.Wymagania wstępne </w:t>
      </w:r>
    </w:p>
    <w:p w14:paraId="633BFE5C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B611A5" w:rsidRPr="00123B7B" w14:paraId="1F7F568A" w14:textId="77777777">
        <w:trPr>
          <w:trHeight w:val="1082"/>
        </w:trPr>
        <w:tc>
          <w:tcPr>
            <w:tcW w:w="9670" w:type="dxa"/>
          </w:tcPr>
          <w:p w14:paraId="0F99EF55" w14:textId="77777777" w:rsidR="00B611A5" w:rsidRPr="00123B7B" w:rsidRDefault="00B611A5" w:rsidP="00C9412C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Pozytywne zaliczenie z </w:t>
            </w:r>
            <w:r w:rsidRPr="00123B7B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</w:rPr>
              <w:t>Mikro - Makroekonomii</w:t>
            </w: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wskazujące na posiadanie podstawowej wiedzy ekonomicznej (problemy, kategorie, prawa). Pozytywne zaliczenie przedmiotu </w:t>
            </w:r>
            <w:r w:rsidRPr="00123B7B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</w:rPr>
              <w:t xml:space="preserve">Finanse publiczne i rynki finansowe </w:t>
            </w: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oraz umiejętności interpretacji zjawisk ekonomicznych.</w:t>
            </w:r>
          </w:p>
        </w:tc>
      </w:tr>
    </w:tbl>
    <w:p w14:paraId="7327AA9F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53C98255" w14:textId="1896D733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123B7B">
        <w:rPr>
          <w:rFonts w:ascii="Corbel" w:hAnsi="Corbel" w:cs="Corbel"/>
          <w:sz w:val="22"/>
          <w:szCs w:val="22"/>
        </w:rPr>
        <w:t xml:space="preserve">3. cele, efekty </w:t>
      </w:r>
      <w:r w:rsidR="00934F85">
        <w:rPr>
          <w:rFonts w:ascii="Corbel" w:hAnsi="Corbel" w:cs="Corbel"/>
          <w:sz w:val="22"/>
          <w:szCs w:val="22"/>
        </w:rPr>
        <w:t>uczenia się</w:t>
      </w:r>
      <w:r w:rsidRPr="00123B7B">
        <w:rPr>
          <w:rFonts w:ascii="Corbel" w:hAnsi="Corbel" w:cs="Corbel"/>
          <w:sz w:val="22"/>
          <w:szCs w:val="22"/>
        </w:rPr>
        <w:t xml:space="preserve"> , treści Programowe i stosowane metody Dydaktyczne</w:t>
      </w:r>
    </w:p>
    <w:p w14:paraId="7499D85C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4D0E2753" w14:textId="0299BB28" w:rsidR="00B611A5" w:rsidRPr="00123B7B" w:rsidRDefault="00B611A5" w:rsidP="00C9412C">
      <w:pPr>
        <w:pStyle w:val="Podpunkty"/>
        <w:rPr>
          <w:rFonts w:ascii="Corbel" w:hAnsi="Corbel" w:cs="Corbel"/>
          <w:sz w:val="22"/>
          <w:szCs w:val="22"/>
        </w:rPr>
      </w:pPr>
      <w:r w:rsidRPr="00123B7B">
        <w:rPr>
          <w:rFonts w:ascii="Corbel" w:hAnsi="Corbel" w:cs="Corbel"/>
          <w:sz w:val="22"/>
          <w:szCs w:val="22"/>
        </w:rPr>
        <w:t>3.1 Cele przedmiotu</w:t>
      </w:r>
    </w:p>
    <w:p w14:paraId="33077631" w14:textId="77777777" w:rsidR="00B611A5" w:rsidRPr="00123B7B" w:rsidRDefault="00B611A5" w:rsidP="00C9412C">
      <w:pPr>
        <w:pStyle w:val="Podpunkty"/>
        <w:rPr>
          <w:rFonts w:ascii="Corbel" w:hAnsi="Corbel" w:cs="Corbel"/>
          <w:b w:val="0"/>
          <w:bCs w:val="0"/>
          <w:i/>
          <w:iCs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B611A5" w:rsidRPr="00123B7B" w14:paraId="32D7F7CE" w14:textId="77777777">
        <w:tc>
          <w:tcPr>
            <w:tcW w:w="851" w:type="dxa"/>
            <w:vAlign w:val="center"/>
          </w:tcPr>
          <w:p w14:paraId="404E03E0" w14:textId="77777777" w:rsidR="00B611A5" w:rsidRPr="00123B7B" w:rsidRDefault="00B611A5" w:rsidP="00857315">
            <w:pPr>
              <w:pStyle w:val="Podpunkty"/>
              <w:spacing w:before="60" w:after="60"/>
              <w:ind w:left="0"/>
              <w:jc w:val="left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C1</w:t>
            </w:r>
          </w:p>
        </w:tc>
        <w:tc>
          <w:tcPr>
            <w:tcW w:w="8819" w:type="dxa"/>
          </w:tcPr>
          <w:p w14:paraId="0BF78C8F" w14:textId="77777777" w:rsidR="00B611A5" w:rsidRPr="00123B7B" w:rsidRDefault="00B611A5" w:rsidP="00857315">
            <w:pPr>
              <w:spacing w:before="60" w:after="6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Pogłębienie wiedzy studenta na temat podstawowych kategoriami i zasadami finansów sektora publicznego. Zapoznanie z procesami finansowymi zachodzącymi w sektorze publicznym oraz zasadami gospodarki finansowej podmiotów sektora publicznego.</w:t>
            </w:r>
          </w:p>
        </w:tc>
      </w:tr>
      <w:tr w:rsidR="00B611A5" w:rsidRPr="00123B7B" w14:paraId="17DDD786" w14:textId="77777777">
        <w:tc>
          <w:tcPr>
            <w:tcW w:w="851" w:type="dxa"/>
            <w:vAlign w:val="center"/>
          </w:tcPr>
          <w:p w14:paraId="224A79F9" w14:textId="77777777" w:rsidR="00B611A5" w:rsidRPr="00123B7B" w:rsidRDefault="00B611A5" w:rsidP="00857315">
            <w:pPr>
              <w:pStyle w:val="Podpunkty"/>
              <w:spacing w:before="60" w:after="60"/>
              <w:ind w:left="0"/>
              <w:jc w:val="left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C2</w:t>
            </w:r>
          </w:p>
        </w:tc>
        <w:tc>
          <w:tcPr>
            <w:tcW w:w="8819" w:type="dxa"/>
          </w:tcPr>
          <w:p w14:paraId="1E35FAA9" w14:textId="77777777" w:rsidR="00B611A5" w:rsidRPr="00123B7B" w:rsidRDefault="00B611A5" w:rsidP="00857315">
            <w:pPr>
              <w:spacing w:before="60" w:after="6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Dostarczenie wiedzy i umiejętności w zakresie zasad, norm i metod organizacji budżetu na szczeblu centralnym i samorządowym w różnych formach organizacyjno-prawnych sektora publicznego.</w:t>
            </w:r>
          </w:p>
        </w:tc>
      </w:tr>
      <w:tr w:rsidR="00B611A5" w:rsidRPr="00123B7B" w14:paraId="17600C4F" w14:textId="77777777">
        <w:tc>
          <w:tcPr>
            <w:tcW w:w="851" w:type="dxa"/>
            <w:vAlign w:val="center"/>
          </w:tcPr>
          <w:p w14:paraId="34A1F703" w14:textId="77777777" w:rsidR="00B611A5" w:rsidRPr="00123B7B" w:rsidRDefault="00B611A5" w:rsidP="00857315">
            <w:pPr>
              <w:pStyle w:val="Cele"/>
              <w:spacing w:before="60" w:after="6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123B7B">
              <w:rPr>
                <w:rFonts w:ascii="Corbel" w:hAnsi="Corbel" w:cs="Corbel"/>
                <w:sz w:val="22"/>
                <w:szCs w:val="22"/>
              </w:rPr>
              <w:t>C3</w:t>
            </w:r>
          </w:p>
        </w:tc>
        <w:tc>
          <w:tcPr>
            <w:tcW w:w="8819" w:type="dxa"/>
          </w:tcPr>
          <w:p w14:paraId="448E04EF" w14:textId="77777777" w:rsidR="00B611A5" w:rsidRPr="00123B7B" w:rsidRDefault="00B611A5" w:rsidP="00857315">
            <w:pPr>
              <w:spacing w:before="60" w:after="6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Dostarczenie wiedzy i umiejętności w zakresie tworzenia budżetów i innych planów finansowych podmiotów sektora publicznego. Dostarczenie wiedzy potrzebnej do analiz i oceny tendencji ekonomicznych i finansowych w sektorze publicznym.</w:t>
            </w:r>
          </w:p>
        </w:tc>
      </w:tr>
    </w:tbl>
    <w:p w14:paraId="5AC4F11D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</w:pPr>
    </w:p>
    <w:p w14:paraId="5062CB23" w14:textId="5D967AC4" w:rsidR="00B611A5" w:rsidRPr="00123B7B" w:rsidRDefault="00B611A5" w:rsidP="00C9412C">
      <w:pPr>
        <w:spacing w:after="0" w:line="240" w:lineRule="auto"/>
        <w:ind w:left="426"/>
        <w:rPr>
          <w:rFonts w:ascii="Corbel" w:hAnsi="Corbel" w:cs="Corbel"/>
        </w:rPr>
      </w:pPr>
      <w:r w:rsidRPr="00123B7B">
        <w:rPr>
          <w:rFonts w:ascii="Corbel" w:hAnsi="Corbel" w:cs="Corbel"/>
          <w:b/>
          <w:bCs/>
        </w:rPr>
        <w:t xml:space="preserve">3.2 Efekty </w:t>
      </w:r>
      <w:r w:rsidR="000E7716">
        <w:rPr>
          <w:rFonts w:ascii="Corbel" w:hAnsi="Corbel" w:cs="Corbel"/>
          <w:b/>
          <w:bCs/>
        </w:rPr>
        <w:t>uczenia się</w:t>
      </w:r>
      <w:r w:rsidRPr="00123B7B">
        <w:rPr>
          <w:rFonts w:ascii="Corbel" w:hAnsi="Corbel" w:cs="Corbel"/>
          <w:b/>
          <w:bCs/>
        </w:rPr>
        <w:t xml:space="preserve"> dla przedmiotu</w:t>
      </w:r>
    </w:p>
    <w:p w14:paraId="7917E33D" w14:textId="77777777" w:rsidR="00B611A5" w:rsidRPr="00123B7B" w:rsidRDefault="00B611A5" w:rsidP="00C9412C">
      <w:pPr>
        <w:spacing w:after="0" w:line="240" w:lineRule="auto"/>
        <w:rPr>
          <w:rFonts w:ascii="Corbel" w:hAnsi="Corbel" w:cs="Corbel"/>
        </w:rPr>
      </w:pPr>
    </w:p>
    <w:tbl>
      <w:tblPr>
        <w:tblW w:w="985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2"/>
        <w:gridCol w:w="5972"/>
        <w:gridCol w:w="2190"/>
      </w:tblGrid>
      <w:tr w:rsidR="00B611A5" w:rsidRPr="00123B7B" w14:paraId="03D57CFA" w14:textId="77777777">
        <w:trPr>
          <w:trHeight w:val="1322"/>
        </w:trPr>
        <w:tc>
          <w:tcPr>
            <w:tcW w:w="1692" w:type="dxa"/>
            <w:vAlign w:val="center"/>
          </w:tcPr>
          <w:p w14:paraId="2475A016" w14:textId="4005E39E" w:rsidR="00B611A5" w:rsidRPr="00123B7B" w:rsidRDefault="00B611A5" w:rsidP="00274CF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smallCaps w:val="0"/>
                <w:sz w:val="22"/>
                <w:szCs w:val="22"/>
              </w:rPr>
              <w:t>EK</w:t>
            </w: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 (efekt </w:t>
            </w:r>
            <w:r w:rsidR="00934F8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uczenia się</w:t>
            </w: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)</w:t>
            </w:r>
          </w:p>
        </w:tc>
        <w:tc>
          <w:tcPr>
            <w:tcW w:w="5972" w:type="dxa"/>
            <w:vAlign w:val="center"/>
          </w:tcPr>
          <w:p w14:paraId="4F8B2875" w14:textId="3069C06A" w:rsidR="00B611A5" w:rsidRPr="00123B7B" w:rsidRDefault="00B611A5" w:rsidP="00274CF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Treść efektu </w:t>
            </w:r>
            <w:r w:rsidR="00934F8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uczenia się</w:t>
            </w: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 zdefiniowanego dla przedmiotu</w:t>
            </w:r>
          </w:p>
        </w:tc>
        <w:tc>
          <w:tcPr>
            <w:tcW w:w="2190" w:type="dxa"/>
            <w:vAlign w:val="center"/>
          </w:tcPr>
          <w:p w14:paraId="289C00C0" w14:textId="4912273B" w:rsidR="00B611A5" w:rsidRPr="00123B7B" w:rsidRDefault="00B611A5" w:rsidP="00274CF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Odniesienie do efektów  kierunkowych</w:t>
            </w:r>
          </w:p>
        </w:tc>
      </w:tr>
      <w:tr w:rsidR="00B611A5" w:rsidRPr="00123B7B" w14:paraId="3B5D6681" w14:textId="77777777">
        <w:tc>
          <w:tcPr>
            <w:tcW w:w="1692" w:type="dxa"/>
          </w:tcPr>
          <w:p w14:paraId="30283147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5972" w:type="dxa"/>
          </w:tcPr>
          <w:p w14:paraId="10F73BF3" w14:textId="77777777" w:rsidR="00B611A5" w:rsidRPr="00123B7B" w:rsidRDefault="00B611A5" w:rsidP="0084530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Student określa zwrotne i bezzwrotne źródła gromadzenia i wydatkowania środków finansowych w jednostkach sektora publicznego. Wskazuje powiązania pomiędzy dochodami i wydatkami sektora publicznego a procesami gospodarczymi i społecznymi. Rozpoznaje i ocenia zjawiska finansowe zachodzące w sektorze publicznym; rozumie zasady gospodarki finansowej podmiotów sektora publicznego</w:t>
            </w:r>
          </w:p>
        </w:tc>
        <w:tc>
          <w:tcPr>
            <w:tcW w:w="2190" w:type="dxa"/>
          </w:tcPr>
          <w:p w14:paraId="77C393DE" w14:textId="037A2A8E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K_W0</w:t>
            </w:r>
            <w:r w:rsidR="00D12BEC">
              <w:rPr>
                <w:rFonts w:ascii="Corbel" w:hAnsi="Corbel" w:cs="Corbel"/>
              </w:rPr>
              <w:t>1</w:t>
            </w:r>
          </w:p>
          <w:p w14:paraId="250CAD80" w14:textId="77777777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K_W07</w:t>
            </w:r>
          </w:p>
          <w:p w14:paraId="7268D918" w14:textId="77777777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</w:p>
        </w:tc>
      </w:tr>
      <w:tr w:rsidR="00B611A5" w:rsidRPr="00123B7B" w14:paraId="127028C1" w14:textId="77777777">
        <w:tc>
          <w:tcPr>
            <w:tcW w:w="1692" w:type="dxa"/>
          </w:tcPr>
          <w:p w14:paraId="09323537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5972" w:type="dxa"/>
          </w:tcPr>
          <w:p w14:paraId="663023FE" w14:textId="77777777" w:rsidR="00B611A5" w:rsidRPr="00123B7B" w:rsidRDefault="00B611A5" w:rsidP="0084530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Zna podstawowe zasady, normy i koncepcje organizacji budżetu na szczeblu centralnym i samorządowym w różnych formach organizacyjno-prawnych sektora publicznego</w:t>
            </w:r>
          </w:p>
        </w:tc>
        <w:tc>
          <w:tcPr>
            <w:tcW w:w="2190" w:type="dxa"/>
          </w:tcPr>
          <w:p w14:paraId="5FE1BD22" w14:textId="77777777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K_W08</w:t>
            </w:r>
          </w:p>
          <w:p w14:paraId="7221B6D6" w14:textId="77777777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</w:p>
        </w:tc>
      </w:tr>
      <w:tr w:rsidR="00B611A5" w:rsidRPr="00123B7B" w14:paraId="07AD2B71" w14:textId="77777777">
        <w:tc>
          <w:tcPr>
            <w:tcW w:w="1692" w:type="dxa"/>
          </w:tcPr>
          <w:p w14:paraId="73D83513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5972" w:type="dxa"/>
          </w:tcPr>
          <w:p w14:paraId="48790640" w14:textId="77777777" w:rsidR="00B611A5" w:rsidRPr="00123B7B" w:rsidRDefault="00B611A5" w:rsidP="0084530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Pozyskuje i analizuje dane potrzebnych do tworzenia budżetów i innych planów finansowych podmiotów sektora publicznego.</w:t>
            </w:r>
          </w:p>
        </w:tc>
        <w:tc>
          <w:tcPr>
            <w:tcW w:w="2190" w:type="dxa"/>
          </w:tcPr>
          <w:p w14:paraId="65F191E6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K_U01</w:t>
            </w:r>
          </w:p>
          <w:p w14:paraId="7F771DC9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K_U03</w:t>
            </w:r>
          </w:p>
          <w:p w14:paraId="17BEA42E" w14:textId="77777777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</w:p>
        </w:tc>
      </w:tr>
      <w:tr w:rsidR="00B611A5" w:rsidRPr="00123B7B" w14:paraId="09C28062" w14:textId="77777777">
        <w:tc>
          <w:tcPr>
            <w:tcW w:w="1692" w:type="dxa"/>
          </w:tcPr>
          <w:p w14:paraId="19684068" w14:textId="77777777" w:rsidR="00B611A5" w:rsidRPr="00123B7B" w:rsidRDefault="00B611A5" w:rsidP="00B82C2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5972" w:type="dxa"/>
          </w:tcPr>
          <w:p w14:paraId="4F7B8BA7" w14:textId="77777777" w:rsidR="00B611A5" w:rsidRPr="00123B7B" w:rsidRDefault="00B611A5" w:rsidP="006137B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Analizuje i ocenia procesy i tendencje ekonomiczne i społeczne oraz i ich konsekwencje dla finansów w sektorze publicznym. Nabywa kompetencje do podejmowania decyzji finansowych w sektorze budżetowym.</w:t>
            </w:r>
          </w:p>
        </w:tc>
        <w:tc>
          <w:tcPr>
            <w:tcW w:w="2190" w:type="dxa"/>
          </w:tcPr>
          <w:p w14:paraId="51A97682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K_U06</w:t>
            </w:r>
          </w:p>
          <w:p w14:paraId="6D344831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</w:p>
        </w:tc>
      </w:tr>
      <w:tr w:rsidR="00B611A5" w:rsidRPr="00123B7B" w14:paraId="681A8076" w14:textId="77777777">
        <w:tc>
          <w:tcPr>
            <w:tcW w:w="1692" w:type="dxa"/>
          </w:tcPr>
          <w:p w14:paraId="05C3D764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EK_05</w:t>
            </w:r>
          </w:p>
        </w:tc>
        <w:tc>
          <w:tcPr>
            <w:tcW w:w="5972" w:type="dxa"/>
          </w:tcPr>
          <w:p w14:paraId="452ADC1D" w14:textId="77777777" w:rsidR="00B611A5" w:rsidRPr="00123B7B" w:rsidRDefault="00B611A5" w:rsidP="006137B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Posiada świadomość złożoności i współzależności wielu procesów w sferze gospodarki budżetowej i gospodarki realnej. Zachowuje krytycyzm i niezależność myślenia w ocenie analizowanych problemów.</w:t>
            </w:r>
          </w:p>
        </w:tc>
        <w:tc>
          <w:tcPr>
            <w:tcW w:w="2190" w:type="dxa"/>
          </w:tcPr>
          <w:p w14:paraId="184B14A3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K_K01</w:t>
            </w:r>
          </w:p>
          <w:p w14:paraId="13636B5D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</w:p>
        </w:tc>
      </w:tr>
    </w:tbl>
    <w:p w14:paraId="5BBF191D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4D335D1A" w14:textId="77777777" w:rsidR="00B611A5" w:rsidRPr="00123B7B" w:rsidRDefault="00B611A5" w:rsidP="005009B4">
      <w:pPr>
        <w:pStyle w:val="Podpunkty"/>
        <w:ind w:left="0"/>
        <w:rPr>
          <w:rFonts w:ascii="Corbel" w:hAnsi="Corbel" w:cs="Corbel"/>
          <w:b w:val="0"/>
          <w:bCs w:val="0"/>
          <w:sz w:val="22"/>
          <w:szCs w:val="22"/>
          <w:lang w:eastAsia="en-US"/>
        </w:rPr>
      </w:pPr>
    </w:p>
    <w:p w14:paraId="46879A0B" w14:textId="77777777" w:rsidR="00B611A5" w:rsidRPr="00123B7B" w:rsidRDefault="00B611A5" w:rsidP="005009B4">
      <w:pPr>
        <w:pStyle w:val="Akapitzlist1"/>
        <w:spacing w:line="240" w:lineRule="auto"/>
        <w:ind w:left="426"/>
        <w:jc w:val="both"/>
        <w:rPr>
          <w:rFonts w:ascii="Corbel" w:hAnsi="Corbel" w:cs="Corbel"/>
          <w:i/>
          <w:iCs/>
        </w:rPr>
      </w:pPr>
      <w:r w:rsidRPr="00123B7B">
        <w:rPr>
          <w:rFonts w:ascii="Corbel" w:hAnsi="Corbel" w:cs="Corbel"/>
          <w:b/>
          <w:bCs/>
        </w:rPr>
        <w:t xml:space="preserve">3.3 Treści programowe </w:t>
      </w:r>
    </w:p>
    <w:p w14:paraId="5B2D6B8A" w14:textId="77777777" w:rsidR="00B611A5" w:rsidRPr="00123B7B" w:rsidRDefault="00B611A5" w:rsidP="005009B4">
      <w:pPr>
        <w:pStyle w:val="Akapitzlist1"/>
        <w:numPr>
          <w:ilvl w:val="0"/>
          <w:numId w:val="3"/>
        </w:numPr>
        <w:spacing w:after="120" w:line="240" w:lineRule="auto"/>
        <w:jc w:val="both"/>
        <w:rPr>
          <w:rFonts w:ascii="Corbel" w:hAnsi="Corbel" w:cs="Corbel"/>
        </w:rPr>
      </w:pPr>
      <w:r w:rsidRPr="00123B7B">
        <w:rPr>
          <w:rFonts w:ascii="Corbel" w:hAnsi="Corbel" w:cs="Corbel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611A5" w:rsidRPr="00123B7B" w14:paraId="671D2D14" w14:textId="77777777">
        <w:tc>
          <w:tcPr>
            <w:tcW w:w="9639" w:type="dxa"/>
          </w:tcPr>
          <w:p w14:paraId="78837B46" w14:textId="77777777" w:rsidR="00B611A5" w:rsidRPr="00123B7B" w:rsidRDefault="00B611A5" w:rsidP="005009B4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b/>
                <w:bCs/>
              </w:rPr>
            </w:pPr>
            <w:r w:rsidRPr="00123B7B">
              <w:rPr>
                <w:rFonts w:ascii="Corbel" w:hAnsi="Corbel" w:cs="Corbel"/>
                <w:b/>
                <w:bCs/>
              </w:rPr>
              <w:t>Treści merytoryczne</w:t>
            </w:r>
          </w:p>
        </w:tc>
      </w:tr>
      <w:tr w:rsidR="00B611A5" w:rsidRPr="00123B7B" w14:paraId="62378D48" w14:textId="77777777">
        <w:tc>
          <w:tcPr>
            <w:tcW w:w="9639" w:type="dxa"/>
          </w:tcPr>
          <w:p w14:paraId="655753D2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Sfera publiczna a sektor publiczny. Elementy składowe (ogniwa, podsektory) sektora finansów publicznych ich wzajemne powiązania. Mechanizm finansowania i wydatki sektora </w:t>
            </w:r>
            <w:r w:rsidRPr="00123B7B">
              <w:rPr>
                <w:rStyle w:val="Uwydatnienie"/>
                <w:rFonts w:ascii="Corbel" w:hAnsi="Corbel" w:cs="Corbel"/>
                <w:shd w:val="clear" w:color="auto" w:fill="FFFFFF"/>
              </w:rPr>
              <w:t>general government</w:t>
            </w:r>
            <w:r w:rsidRPr="00123B7B">
              <w:rPr>
                <w:rStyle w:val="Uwydatnienie"/>
                <w:rFonts w:ascii="Corbel" w:hAnsi="Corbel" w:cs="Corbel"/>
                <w:i w:val="0"/>
                <w:iCs w:val="0"/>
                <w:shd w:val="clear" w:color="auto" w:fill="FFFFFF"/>
              </w:rPr>
              <w:t>.</w:t>
            </w:r>
          </w:p>
        </w:tc>
      </w:tr>
      <w:tr w:rsidR="00B611A5" w:rsidRPr="00123B7B" w14:paraId="4C6C495F" w14:textId="77777777">
        <w:tc>
          <w:tcPr>
            <w:tcW w:w="9639" w:type="dxa"/>
          </w:tcPr>
          <w:p w14:paraId="0833F5E0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Rola podmiotów sektora publicznego w realizacji funkcji alokacyjnej, redystrybucyjnej, stabilizacyjnej i kontrolnej polityki fiskalnej. Realizacja tych funkcji na poziomie jednostek samorządu terytorialnego.</w:t>
            </w:r>
          </w:p>
        </w:tc>
      </w:tr>
      <w:tr w:rsidR="00B611A5" w:rsidRPr="00123B7B" w14:paraId="64FCC7E6" w14:textId="77777777">
        <w:tc>
          <w:tcPr>
            <w:tcW w:w="9639" w:type="dxa"/>
          </w:tcPr>
          <w:p w14:paraId="7147A7C9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Organizacja sektora finansów publicznych w Polsce w kontekście zarządzania finansami </w:t>
            </w:r>
            <w:r w:rsidRPr="00123B7B">
              <w:rPr>
                <w:rFonts w:ascii="Corbel" w:hAnsi="Corbel" w:cs="Corbel"/>
              </w:rPr>
              <w:lastRenderedPageBreak/>
              <w:t>publicznymi. Formy organizacyjno-prawne gospodarki budżetowej- jednostki budżetowe, zakłady budżetowe, fundusze celowe.</w:t>
            </w:r>
          </w:p>
        </w:tc>
      </w:tr>
      <w:tr w:rsidR="00B611A5" w:rsidRPr="00123B7B" w14:paraId="649B9604" w14:textId="77777777">
        <w:tc>
          <w:tcPr>
            <w:tcW w:w="9639" w:type="dxa"/>
          </w:tcPr>
          <w:p w14:paraId="508DA263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lastRenderedPageBreak/>
              <w:t xml:space="preserve">Gospodarka budżetowa państwa –podstawowe kategorie budżetowe (dochody, wydatki, przychody, rozchody budżetowe). Problem równoważenia budżetu, deficyt budżetowy i dług publiczny. </w:t>
            </w:r>
          </w:p>
        </w:tc>
      </w:tr>
      <w:tr w:rsidR="00B611A5" w:rsidRPr="00123B7B" w14:paraId="363841CC" w14:textId="77777777">
        <w:tc>
          <w:tcPr>
            <w:tcW w:w="9639" w:type="dxa"/>
          </w:tcPr>
          <w:p w14:paraId="3FD7006E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Teoretyczne i praktyczne przyczyny deficytu budżetowego i długu publicznego. Rodzaje deficytów budżetowych. Struktura i dynamika długu publicznego w Polsce i innych krajach UE i świata. Procedury legislacyjne, ostrożnościowe i sanacyjne w procesie zarządzania deficytem i długiem publicznym.</w:t>
            </w:r>
          </w:p>
        </w:tc>
      </w:tr>
      <w:tr w:rsidR="00B611A5" w:rsidRPr="00123B7B" w14:paraId="00EAD307" w14:textId="77777777">
        <w:tc>
          <w:tcPr>
            <w:tcW w:w="9639" w:type="dxa"/>
          </w:tcPr>
          <w:p w14:paraId="2740EDAD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Stabilność sektora finansów publicznych i jego uwarunkowania ekonomiczne i instytucjonalne. Przykład Polski i innych krajów UE i świata. Rozwiązania instytucjonalne i prawe stosowane w Unii Europejskiej.</w:t>
            </w:r>
          </w:p>
        </w:tc>
      </w:tr>
      <w:tr w:rsidR="00B611A5" w:rsidRPr="00123B7B" w14:paraId="7D373689" w14:textId="77777777">
        <w:tc>
          <w:tcPr>
            <w:tcW w:w="9639" w:type="dxa"/>
          </w:tcPr>
          <w:p w14:paraId="4BAE6A77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Współzależność kryzysów finansowych, gospodarczych i fiskalnych. Istota i przyczyny kryzysu finansów publicznych w niektórych krajach stery euro.</w:t>
            </w:r>
          </w:p>
        </w:tc>
      </w:tr>
      <w:tr w:rsidR="00B611A5" w:rsidRPr="00123B7B" w14:paraId="4F9E5C3D" w14:textId="77777777">
        <w:tc>
          <w:tcPr>
            <w:tcW w:w="9639" w:type="dxa"/>
          </w:tcPr>
          <w:p w14:paraId="4A34333C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Istota, cele i narzędzia polityki podatkowej. Podatek jako kategoria ekonomiczna. Teorie podatkowe (m.in. teoria optymalnego opodatkowani), ekonomiczne skutki podatków, krzywa Laffera i jej interpretacja.</w:t>
            </w:r>
          </w:p>
        </w:tc>
      </w:tr>
      <w:tr w:rsidR="00B611A5" w:rsidRPr="00123B7B" w14:paraId="46DAF55A" w14:textId="77777777">
        <w:tc>
          <w:tcPr>
            <w:tcW w:w="9639" w:type="dxa"/>
          </w:tcPr>
          <w:p w14:paraId="09456907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Finanse jednostek samorządu terytorialnego. Źródła dochodów i wydatki różnych szczebli samorządu terytorialnego w Polsce.  </w:t>
            </w:r>
          </w:p>
        </w:tc>
      </w:tr>
      <w:tr w:rsidR="00B611A5" w:rsidRPr="00123B7B" w14:paraId="72783AF6" w14:textId="77777777">
        <w:tc>
          <w:tcPr>
            <w:tcW w:w="9639" w:type="dxa"/>
          </w:tcPr>
          <w:p w14:paraId="5903664B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Problematyka finansów systemu ubezpieczeń społecznych. Struktura instytucjonalna systemu emerytalno-rentowego w Polsce. Przyczyny nierównowagi finansów funduszu ubezpieczeń społecznych.</w:t>
            </w:r>
          </w:p>
        </w:tc>
      </w:tr>
    </w:tbl>
    <w:p w14:paraId="097AE8E8" w14:textId="77777777" w:rsidR="00B611A5" w:rsidRPr="00123B7B" w:rsidRDefault="00B611A5" w:rsidP="00C9412C">
      <w:pPr>
        <w:spacing w:after="0" w:line="240" w:lineRule="auto"/>
        <w:rPr>
          <w:rFonts w:ascii="Corbel" w:hAnsi="Corbel" w:cs="Corbel"/>
        </w:rPr>
      </w:pPr>
    </w:p>
    <w:p w14:paraId="4B45B15F" w14:textId="77777777" w:rsidR="00B611A5" w:rsidRPr="00123B7B" w:rsidRDefault="00B611A5" w:rsidP="00C9412C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 w:cs="Corbel"/>
        </w:rPr>
      </w:pPr>
      <w:r w:rsidRPr="00123B7B">
        <w:rPr>
          <w:rFonts w:ascii="Corbel" w:hAnsi="Corbel" w:cs="Corbel"/>
        </w:rPr>
        <w:t>Problematyka ćwiczeń audytoryjnych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611A5" w:rsidRPr="00123B7B" w14:paraId="1518EB31" w14:textId="77777777">
        <w:tc>
          <w:tcPr>
            <w:tcW w:w="9639" w:type="dxa"/>
          </w:tcPr>
          <w:p w14:paraId="4BB25FFB" w14:textId="77777777" w:rsidR="00B611A5" w:rsidRPr="00123B7B" w:rsidRDefault="00B611A5" w:rsidP="005009B4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b/>
                <w:bCs/>
              </w:rPr>
            </w:pPr>
            <w:r w:rsidRPr="00123B7B">
              <w:rPr>
                <w:rFonts w:ascii="Corbel" w:hAnsi="Corbel" w:cs="Corbel"/>
                <w:b/>
                <w:bCs/>
              </w:rPr>
              <w:t>Treści merytoryczne</w:t>
            </w:r>
          </w:p>
        </w:tc>
      </w:tr>
      <w:tr w:rsidR="00B611A5" w:rsidRPr="00123B7B" w14:paraId="350B633C" w14:textId="77777777">
        <w:tc>
          <w:tcPr>
            <w:tcW w:w="9639" w:type="dxa"/>
          </w:tcPr>
          <w:p w14:paraId="78036374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Budżet państwa. Tryb opracowania i uchwalania budżetu państwa i ustaw około budżetowych. Konsekwencje zasad budżetowych. Dysponenci części budżetowej i ich struktura.</w:t>
            </w:r>
          </w:p>
        </w:tc>
      </w:tr>
      <w:tr w:rsidR="00B611A5" w:rsidRPr="00123B7B" w14:paraId="19AD2469" w14:textId="77777777">
        <w:tc>
          <w:tcPr>
            <w:tcW w:w="9639" w:type="dxa"/>
          </w:tcPr>
          <w:p w14:paraId="10EAC5A6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Pojęcie i formy dochodów budżetu państwa. Charakterystyka dochodów w  sektorze </w:t>
            </w:r>
            <w:r w:rsidRPr="00123B7B">
              <w:rPr>
                <w:rStyle w:val="Uwydatnienie"/>
                <w:rFonts w:ascii="Corbel" w:hAnsi="Corbel" w:cs="Corbel"/>
                <w:shd w:val="clear" w:color="auto" w:fill="FFFFFF"/>
              </w:rPr>
              <w:t>general government</w:t>
            </w:r>
            <w:r w:rsidRPr="00123B7B">
              <w:rPr>
                <w:rFonts w:ascii="Corbel" w:hAnsi="Corbel" w:cs="Corbel"/>
              </w:rPr>
              <w:t xml:space="preserve"> (ich form, źródeł i struktury) </w:t>
            </w:r>
            <w:r w:rsidRPr="00123B7B">
              <w:rPr>
                <w:rStyle w:val="Uwydatnienie"/>
                <w:rFonts w:ascii="Corbel" w:hAnsi="Corbel" w:cs="Corbel"/>
                <w:i w:val="0"/>
                <w:iCs w:val="0"/>
                <w:shd w:val="clear" w:color="auto" w:fill="FFFFFF"/>
              </w:rPr>
              <w:t xml:space="preserve">. Wydatki sektora </w:t>
            </w:r>
            <w:r w:rsidRPr="00123B7B">
              <w:rPr>
                <w:rStyle w:val="Uwydatnienie"/>
                <w:rFonts w:ascii="Corbel" w:hAnsi="Corbel" w:cs="Corbel"/>
                <w:shd w:val="clear" w:color="auto" w:fill="FFFFFF"/>
              </w:rPr>
              <w:t>general government</w:t>
            </w:r>
            <w:r w:rsidRPr="00123B7B">
              <w:rPr>
                <w:rStyle w:val="Uwydatnienie"/>
                <w:rFonts w:ascii="Corbel" w:hAnsi="Corbel" w:cs="Corbel"/>
                <w:i w:val="0"/>
                <w:iCs w:val="0"/>
                <w:shd w:val="clear" w:color="auto" w:fill="FFFFFF"/>
              </w:rPr>
              <w:t xml:space="preserve"> – ich dynamika i struktura na przykładzie Polski.</w:t>
            </w:r>
          </w:p>
        </w:tc>
      </w:tr>
      <w:tr w:rsidR="00B611A5" w:rsidRPr="00123B7B" w14:paraId="04C60475" w14:textId="77777777">
        <w:tc>
          <w:tcPr>
            <w:tcW w:w="9639" w:type="dxa"/>
          </w:tcPr>
          <w:p w14:paraId="225A7EFA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Metody budżetowania - budżet liniowy, zadaniowy, operacyjny i mieszany. Budżet zadaniowy jako instrument zarządzania w jednostkach sektora finansów publicznych. </w:t>
            </w:r>
          </w:p>
        </w:tc>
      </w:tr>
      <w:tr w:rsidR="00B611A5" w:rsidRPr="00123B7B" w14:paraId="5C579922" w14:textId="77777777">
        <w:tc>
          <w:tcPr>
            <w:tcW w:w="9639" w:type="dxa"/>
          </w:tcPr>
          <w:p w14:paraId="3BA5A27E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Finanse samorządu terytorialnego w Polsce. Zasady gospodarki finansowej jednostek samorządu terytorialnego (JST) i budżet JST. Realizacja zadań publicznych a gospodarka finansowa JST. Zadania własne gmin, powiatów-analiza porównawcza.</w:t>
            </w:r>
          </w:p>
        </w:tc>
      </w:tr>
      <w:tr w:rsidR="00B611A5" w:rsidRPr="00123B7B" w14:paraId="701E5F00" w14:textId="77777777">
        <w:tc>
          <w:tcPr>
            <w:tcW w:w="9639" w:type="dxa"/>
          </w:tcPr>
          <w:p w14:paraId="279A93A1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Podatki lokalne i władztwo podatkowe w kontekście finansów jednostek samorządu terytorialnego.  Dochody z źródeł publicznych a samodzielność finansowa JST.</w:t>
            </w:r>
          </w:p>
        </w:tc>
      </w:tr>
      <w:tr w:rsidR="00B611A5" w:rsidRPr="00123B7B" w14:paraId="32AF294B" w14:textId="77777777">
        <w:tc>
          <w:tcPr>
            <w:tcW w:w="9639" w:type="dxa"/>
          </w:tcPr>
          <w:p w14:paraId="582F8932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Sprawozdawczość finansowa w JST. Procedury badania sprawozdań finansowych w JST. Analiza kondycji ekonomiczno-finansowej JST. </w:t>
            </w:r>
          </w:p>
        </w:tc>
      </w:tr>
      <w:tr w:rsidR="00B611A5" w:rsidRPr="00123B7B" w14:paraId="3796E5BB" w14:textId="77777777">
        <w:tc>
          <w:tcPr>
            <w:tcW w:w="9639" w:type="dxa"/>
          </w:tcPr>
          <w:p w14:paraId="04CFEBD4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Zarządzanie deficytem i długiem na szczeblu jednostek samorządu terytorialnego.</w:t>
            </w:r>
          </w:p>
        </w:tc>
      </w:tr>
      <w:tr w:rsidR="00B611A5" w:rsidRPr="00123B7B" w14:paraId="6DA05C07" w14:textId="77777777">
        <w:tc>
          <w:tcPr>
            <w:tcW w:w="9639" w:type="dxa"/>
          </w:tcPr>
          <w:p w14:paraId="32F7F5E0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Finanse sektora ubezpieczeń społecznych. Fundusze i elementy systemu ubezpieczeń społecznych w Polsce. Ubezpieczenia emerytalne – istota i zasady. Filary ubezpieczeń emerytalnych (różnice).</w:t>
            </w:r>
          </w:p>
        </w:tc>
      </w:tr>
      <w:tr w:rsidR="00B611A5" w:rsidRPr="00123B7B" w14:paraId="1D4DC6D4" w14:textId="77777777">
        <w:tc>
          <w:tcPr>
            <w:tcW w:w="9639" w:type="dxa"/>
          </w:tcPr>
          <w:p w14:paraId="3BF76796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Ubezpieczenia rentowe, chorobowe i wypadkowe. Ustalanie wysokości składek z tytułu ubezpieczeń społecznych osób zatrudnionych oraz przedsiębiorców.</w:t>
            </w:r>
          </w:p>
        </w:tc>
      </w:tr>
      <w:tr w:rsidR="00B611A5" w:rsidRPr="00123B7B" w14:paraId="3B0DE4AE" w14:textId="77777777">
        <w:tc>
          <w:tcPr>
            <w:tcW w:w="9639" w:type="dxa"/>
          </w:tcPr>
          <w:p w14:paraId="4BD1649E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System finansowania ochrony zdrowia w Polsce. Zarządzanie finansami w jednostkach publicznej służby zdrowia.</w:t>
            </w:r>
          </w:p>
        </w:tc>
      </w:tr>
    </w:tbl>
    <w:p w14:paraId="1F0AB48A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78BCD6FD" w14:textId="77777777" w:rsidR="00B611A5" w:rsidRPr="00123B7B" w:rsidRDefault="00B611A5" w:rsidP="00C9412C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>3.4 Metody dydaktyczne</w:t>
      </w:r>
    </w:p>
    <w:p w14:paraId="7F90A556" w14:textId="77777777" w:rsidR="00B611A5" w:rsidRPr="00123B7B" w:rsidRDefault="00B611A5" w:rsidP="00C9412C">
      <w:pPr>
        <w:pStyle w:val="Punktygwne"/>
        <w:spacing w:before="0" w:after="0"/>
        <w:jc w:val="both"/>
        <w:rPr>
          <w:rFonts w:ascii="Corbel" w:hAnsi="Corbel" w:cs="Corbel"/>
          <w:sz w:val="22"/>
          <w:szCs w:val="22"/>
        </w:rPr>
      </w:pPr>
    </w:p>
    <w:p w14:paraId="6B23D724" w14:textId="77777777" w:rsidR="00B611A5" w:rsidRPr="00123B7B" w:rsidRDefault="00B611A5" w:rsidP="00C9412C">
      <w:pPr>
        <w:spacing w:after="0" w:line="240" w:lineRule="auto"/>
        <w:jc w:val="both"/>
        <w:rPr>
          <w:rFonts w:ascii="Corbel" w:hAnsi="Corbel" w:cs="Corbel"/>
        </w:rPr>
      </w:pPr>
      <w:r w:rsidRPr="00123B7B">
        <w:rPr>
          <w:rFonts w:ascii="Corbel" w:hAnsi="Corbel" w:cs="Corbel"/>
        </w:rPr>
        <w:t>Wykład z prezentacją multimedialną.</w:t>
      </w:r>
    </w:p>
    <w:p w14:paraId="59016681" w14:textId="77777777" w:rsidR="00B611A5" w:rsidRPr="00123B7B" w:rsidRDefault="00B611A5" w:rsidP="00C9412C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123B7B">
        <w:rPr>
          <w:rFonts w:ascii="Corbel" w:hAnsi="Corbel" w:cs="Corbel"/>
          <w:b w:val="0"/>
          <w:bCs w:val="0"/>
          <w:smallCaps w:val="0"/>
          <w:sz w:val="22"/>
          <w:szCs w:val="22"/>
        </w:rPr>
        <w:t>Ćwiczenia obejmują dyskusję moderowaną, analizę i interpretację danych źródłowych oraz rozwiązywanie zadań, analizę budżetów JST, przygotowywanie i udział w dyskusji, pracę zespołową.</w:t>
      </w:r>
    </w:p>
    <w:p w14:paraId="25C64865" w14:textId="77777777" w:rsidR="00B611A5" w:rsidRPr="00123B7B" w:rsidRDefault="00B611A5" w:rsidP="00C9412C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lastRenderedPageBreak/>
        <w:t xml:space="preserve">4. METODY I KRYTERIA OCENY </w:t>
      </w:r>
    </w:p>
    <w:p w14:paraId="42D402E3" w14:textId="77777777" w:rsidR="00B611A5" w:rsidRPr="00123B7B" w:rsidRDefault="00B611A5" w:rsidP="00C9412C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5A7FA125" w14:textId="77777777" w:rsidR="00B611A5" w:rsidRPr="00123B7B" w:rsidRDefault="00B611A5" w:rsidP="005009B4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>4.1 Sposoby weryfikacji efektów uczenia się</w:t>
      </w:r>
    </w:p>
    <w:p w14:paraId="6D55EABF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5103"/>
        <w:gridCol w:w="2126"/>
      </w:tblGrid>
      <w:tr w:rsidR="00B611A5" w:rsidRPr="00123B7B" w14:paraId="47CF1E08" w14:textId="77777777">
        <w:tc>
          <w:tcPr>
            <w:tcW w:w="2410" w:type="dxa"/>
            <w:vAlign w:val="center"/>
          </w:tcPr>
          <w:p w14:paraId="141B8738" w14:textId="77777777" w:rsidR="00B611A5" w:rsidRPr="00123B7B" w:rsidRDefault="00B611A5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7F1F1D1F" w14:textId="77777777" w:rsidR="00B611A5" w:rsidRPr="00123B7B" w:rsidRDefault="00B611A5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Metody oceny efektów uczenia się</w:t>
            </w:r>
          </w:p>
          <w:p w14:paraId="67AD2DCA" w14:textId="77777777" w:rsidR="00B611A5" w:rsidRPr="00123B7B" w:rsidRDefault="00B611A5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9C27E37" w14:textId="77777777" w:rsidR="00B611A5" w:rsidRPr="00123B7B" w:rsidRDefault="00B611A5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Forma zajęć dydaktycznych </w:t>
            </w:r>
          </w:p>
          <w:p w14:paraId="3570EA09" w14:textId="77777777" w:rsidR="00B611A5" w:rsidRPr="00123B7B" w:rsidRDefault="00B611A5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(w, ćw, …)</w:t>
            </w:r>
          </w:p>
        </w:tc>
      </w:tr>
      <w:tr w:rsidR="00B611A5" w:rsidRPr="00123B7B" w14:paraId="76DCB0C6" w14:textId="77777777">
        <w:tc>
          <w:tcPr>
            <w:tcW w:w="2410" w:type="dxa"/>
          </w:tcPr>
          <w:p w14:paraId="6FBFECAC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5103" w:type="dxa"/>
          </w:tcPr>
          <w:p w14:paraId="30E78589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obserwacja w trakcie zajęć, kolokwium, egzamin pisemny</w:t>
            </w:r>
          </w:p>
        </w:tc>
        <w:tc>
          <w:tcPr>
            <w:tcW w:w="2126" w:type="dxa"/>
          </w:tcPr>
          <w:p w14:paraId="3CFAA6C5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Wykład, ćwiczenia</w:t>
            </w:r>
          </w:p>
        </w:tc>
      </w:tr>
      <w:tr w:rsidR="00B611A5" w:rsidRPr="00123B7B" w14:paraId="2DCEFE1A" w14:textId="77777777">
        <w:tc>
          <w:tcPr>
            <w:tcW w:w="2410" w:type="dxa"/>
          </w:tcPr>
          <w:p w14:paraId="0B769AA3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5103" w:type="dxa"/>
          </w:tcPr>
          <w:p w14:paraId="601718AF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referat z prezentacją, kolokwium, egzamin pisemny</w:t>
            </w:r>
          </w:p>
        </w:tc>
        <w:tc>
          <w:tcPr>
            <w:tcW w:w="2126" w:type="dxa"/>
          </w:tcPr>
          <w:p w14:paraId="711AD7A0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Wykład, ćwiczenia</w:t>
            </w:r>
          </w:p>
        </w:tc>
      </w:tr>
      <w:tr w:rsidR="00B611A5" w:rsidRPr="00123B7B" w14:paraId="09010818" w14:textId="77777777">
        <w:tc>
          <w:tcPr>
            <w:tcW w:w="2410" w:type="dxa"/>
          </w:tcPr>
          <w:p w14:paraId="78F6F15A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5103" w:type="dxa"/>
          </w:tcPr>
          <w:p w14:paraId="3495F598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kolokwium, egzamin pisemny</w:t>
            </w:r>
          </w:p>
        </w:tc>
        <w:tc>
          <w:tcPr>
            <w:tcW w:w="2126" w:type="dxa"/>
          </w:tcPr>
          <w:p w14:paraId="77FB9145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Wykład, ćwiczenia</w:t>
            </w:r>
          </w:p>
        </w:tc>
      </w:tr>
      <w:tr w:rsidR="00B611A5" w:rsidRPr="00123B7B" w14:paraId="5EA41641" w14:textId="77777777">
        <w:tc>
          <w:tcPr>
            <w:tcW w:w="2410" w:type="dxa"/>
          </w:tcPr>
          <w:p w14:paraId="07A0364C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5103" w:type="dxa"/>
          </w:tcPr>
          <w:p w14:paraId="284FB037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kolokwium, egzamin pisemny</w:t>
            </w:r>
          </w:p>
        </w:tc>
        <w:tc>
          <w:tcPr>
            <w:tcW w:w="2126" w:type="dxa"/>
          </w:tcPr>
          <w:p w14:paraId="14280713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Wykład, ćwiczenia</w:t>
            </w:r>
          </w:p>
        </w:tc>
      </w:tr>
      <w:tr w:rsidR="00B611A5" w:rsidRPr="00123B7B" w14:paraId="3AE6CD5B" w14:textId="77777777">
        <w:tc>
          <w:tcPr>
            <w:tcW w:w="2410" w:type="dxa"/>
          </w:tcPr>
          <w:p w14:paraId="57F697D9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EK_05</w:t>
            </w:r>
          </w:p>
        </w:tc>
        <w:tc>
          <w:tcPr>
            <w:tcW w:w="5103" w:type="dxa"/>
          </w:tcPr>
          <w:p w14:paraId="2A2C50AD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obserwacja w trakcie zajęć</w:t>
            </w:r>
          </w:p>
        </w:tc>
        <w:tc>
          <w:tcPr>
            <w:tcW w:w="2126" w:type="dxa"/>
          </w:tcPr>
          <w:p w14:paraId="011FC575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Wykład, ćwiczenia</w:t>
            </w:r>
          </w:p>
        </w:tc>
      </w:tr>
    </w:tbl>
    <w:p w14:paraId="4360EA36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7805E9DD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15E9B1BB" w14:textId="77777777" w:rsidR="00B611A5" w:rsidRPr="00123B7B" w:rsidRDefault="00B611A5" w:rsidP="00C9412C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 xml:space="preserve">4.2 Warunki zaliczenia przedmiotu (kryteria oceniania) </w:t>
      </w:r>
    </w:p>
    <w:p w14:paraId="415422E2" w14:textId="77777777" w:rsidR="00B611A5" w:rsidRPr="00123B7B" w:rsidRDefault="00B611A5" w:rsidP="00C9412C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B611A5" w:rsidRPr="00123B7B" w14:paraId="74E179A3" w14:textId="77777777">
        <w:tc>
          <w:tcPr>
            <w:tcW w:w="9670" w:type="dxa"/>
          </w:tcPr>
          <w:p w14:paraId="53CB0AAC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Ćwiczenia – ocena z kolokwium skorygowana o ocenę aktywności na zajęciach i ocenę z referatu. </w:t>
            </w:r>
          </w:p>
          <w:p w14:paraId="2F6548C5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Wykład – egzamin  pisemny (test: pytania otwarte i zamknięte wielokrotnego wyboru).</w:t>
            </w:r>
          </w:p>
          <w:p w14:paraId="5BA570B3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Ocena 3,0 wymaga uzyskania 51% maksymalnej ilości punktów przypisanych do poszczególnych działań składających się na zaliczenie. </w:t>
            </w:r>
          </w:p>
        </w:tc>
      </w:tr>
    </w:tbl>
    <w:p w14:paraId="090450AA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05973359" w14:textId="77777777" w:rsidR="00B611A5" w:rsidRPr="00123B7B" w:rsidRDefault="00B611A5" w:rsidP="00C9412C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  <w:r w:rsidRPr="00123B7B">
        <w:rPr>
          <w:rFonts w:ascii="Corbel" w:hAnsi="Corbel" w:cs="Corbel"/>
          <w:b/>
          <w:bCs/>
        </w:rPr>
        <w:t xml:space="preserve">5. CAŁKOWITY NAKŁAD PRACY STUDENTA POTRZEBNY DO OSIĄGNIĘCIA ZAŁOŻONYCH EFEKTÓW W GODZINACH ORAZ PUNKTACH ECTS </w:t>
      </w:r>
    </w:p>
    <w:p w14:paraId="1499898B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B611A5" w:rsidRPr="00123B7B" w14:paraId="050163FB" w14:textId="77777777">
        <w:tc>
          <w:tcPr>
            <w:tcW w:w="4962" w:type="dxa"/>
            <w:vAlign w:val="center"/>
          </w:tcPr>
          <w:p w14:paraId="613E536A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123B7B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F12F302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123B7B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B611A5" w:rsidRPr="00123B7B" w14:paraId="01288D7B" w14:textId="77777777">
        <w:tc>
          <w:tcPr>
            <w:tcW w:w="4962" w:type="dxa"/>
          </w:tcPr>
          <w:p w14:paraId="216535E7" w14:textId="6098B13D" w:rsidR="00B611A5" w:rsidRPr="00123B7B" w:rsidRDefault="00B611A5" w:rsidP="00D22E34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Godziny </w:t>
            </w:r>
            <w:r w:rsidR="00934F85">
              <w:rPr>
                <w:rFonts w:ascii="Corbel" w:hAnsi="Corbel" w:cs="Corbel"/>
              </w:rPr>
              <w:t xml:space="preserve">z harmonogramu </w:t>
            </w:r>
            <w:r w:rsidRPr="00123B7B">
              <w:rPr>
                <w:rFonts w:ascii="Corbel" w:hAnsi="Corbel" w:cs="Corbel"/>
              </w:rPr>
              <w:t>studiów</w:t>
            </w:r>
          </w:p>
        </w:tc>
        <w:tc>
          <w:tcPr>
            <w:tcW w:w="4677" w:type="dxa"/>
          </w:tcPr>
          <w:p w14:paraId="42D1AEB7" w14:textId="411606F4" w:rsidR="00B611A5" w:rsidRPr="00123B7B" w:rsidRDefault="00E21860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27</w:t>
            </w:r>
          </w:p>
        </w:tc>
      </w:tr>
      <w:tr w:rsidR="00B611A5" w:rsidRPr="00123B7B" w14:paraId="2F40AF4B" w14:textId="77777777">
        <w:tc>
          <w:tcPr>
            <w:tcW w:w="4962" w:type="dxa"/>
          </w:tcPr>
          <w:p w14:paraId="0BC869D9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Inne z udziałem nauczyciela</w:t>
            </w:r>
          </w:p>
          <w:p w14:paraId="22916C39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(udział w konsultacjach, egzaminie)</w:t>
            </w:r>
          </w:p>
        </w:tc>
        <w:tc>
          <w:tcPr>
            <w:tcW w:w="4677" w:type="dxa"/>
          </w:tcPr>
          <w:p w14:paraId="3FF18323" w14:textId="77777777" w:rsidR="00B611A5" w:rsidRPr="00123B7B" w:rsidRDefault="00B611A5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3</w:t>
            </w:r>
          </w:p>
        </w:tc>
      </w:tr>
      <w:tr w:rsidR="00B611A5" w:rsidRPr="00123B7B" w14:paraId="22F34BB8" w14:textId="77777777">
        <w:tc>
          <w:tcPr>
            <w:tcW w:w="4962" w:type="dxa"/>
          </w:tcPr>
          <w:p w14:paraId="5F919CAC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Godziny niekontaktowe – praca własna studenta (przygotowanie do zajęć, kolokwium, egzaminu, napisanie referatu)</w:t>
            </w:r>
          </w:p>
        </w:tc>
        <w:tc>
          <w:tcPr>
            <w:tcW w:w="4677" w:type="dxa"/>
          </w:tcPr>
          <w:p w14:paraId="703456D0" w14:textId="21F67CEF" w:rsidR="00B611A5" w:rsidRPr="00123B7B" w:rsidRDefault="00E21860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70</w:t>
            </w:r>
          </w:p>
        </w:tc>
      </w:tr>
      <w:tr w:rsidR="00B611A5" w:rsidRPr="00123B7B" w14:paraId="3E1E9EE7" w14:textId="77777777">
        <w:tc>
          <w:tcPr>
            <w:tcW w:w="4962" w:type="dxa"/>
          </w:tcPr>
          <w:p w14:paraId="6AACA9E2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SUMA GODZIN</w:t>
            </w:r>
          </w:p>
        </w:tc>
        <w:tc>
          <w:tcPr>
            <w:tcW w:w="4677" w:type="dxa"/>
          </w:tcPr>
          <w:p w14:paraId="7CFE2D59" w14:textId="77777777" w:rsidR="00B611A5" w:rsidRPr="00123B7B" w:rsidRDefault="00B611A5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100</w:t>
            </w:r>
          </w:p>
        </w:tc>
      </w:tr>
      <w:tr w:rsidR="00B611A5" w:rsidRPr="00123B7B" w14:paraId="31ED8E27" w14:textId="77777777">
        <w:tc>
          <w:tcPr>
            <w:tcW w:w="4962" w:type="dxa"/>
          </w:tcPr>
          <w:p w14:paraId="37C2C93A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123B7B">
              <w:rPr>
                <w:rFonts w:ascii="Corbel" w:hAnsi="Corbel" w:cs="Corbel"/>
                <w:b/>
                <w:bCs/>
              </w:rPr>
              <w:t>SUMARYCZNA LICZBA PUNKTÓW ECTS</w:t>
            </w:r>
          </w:p>
        </w:tc>
        <w:tc>
          <w:tcPr>
            <w:tcW w:w="4677" w:type="dxa"/>
          </w:tcPr>
          <w:p w14:paraId="46AE9095" w14:textId="77777777" w:rsidR="00B611A5" w:rsidRPr="00123B7B" w:rsidRDefault="00B611A5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4</w:t>
            </w:r>
          </w:p>
        </w:tc>
      </w:tr>
    </w:tbl>
    <w:p w14:paraId="017348D6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EBDE4FA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16061D3F" w14:textId="48343749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>6. PRAKTYKI ZAWODOWE W RAMACH PRZEDMIOTU</w:t>
      </w:r>
    </w:p>
    <w:p w14:paraId="039CB156" w14:textId="77777777" w:rsidR="00B611A5" w:rsidRPr="00123B7B" w:rsidRDefault="00B611A5" w:rsidP="00C9412C">
      <w:pPr>
        <w:pStyle w:val="Punktygwne"/>
        <w:spacing w:before="0" w:after="0"/>
        <w:ind w:left="360"/>
        <w:rPr>
          <w:rFonts w:ascii="Corbel" w:hAnsi="Corbel" w:cs="Corbel"/>
          <w:smallCaps w:val="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36"/>
        <w:gridCol w:w="4018"/>
      </w:tblGrid>
      <w:tr w:rsidR="00B611A5" w:rsidRPr="00123B7B" w14:paraId="3E20E12A" w14:textId="77777777" w:rsidTr="00D12BEC">
        <w:trPr>
          <w:trHeight w:val="397"/>
        </w:trPr>
        <w:tc>
          <w:tcPr>
            <w:tcW w:w="2961" w:type="pct"/>
          </w:tcPr>
          <w:p w14:paraId="2D4BF39B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wymiar godzinowy</w:t>
            </w:r>
          </w:p>
        </w:tc>
        <w:tc>
          <w:tcPr>
            <w:tcW w:w="2039" w:type="pct"/>
          </w:tcPr>
          <w:p w14:paraId="55CD4019" w14:textId="77777777" w:rsidR="00B611A5" w:rsidRPr="00123B7B" w:rsidRDefault="00B611A5" w:rsidP="00D12BE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-</w:t>
            </w:r>
          </w:p>
        </w:tc>
      </w:tr>
      <w:tr w:rsidR="00B611A5" w:rsidRPr="00123B7B" w14:paraId="7B984E83" w14:textId="77777777" w:rsidTr="00D12BEC">
        <w:trPr>
          <w:trHeight w:val="397"/>
        </w:trPr>
        <w:tc>
          <w:tcPr>
            <w:tcW w:w="2961" w:type="pct"/>
          </w:tcPr>
          <w:p w14:paraId="0E6AD92F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zasady i formy odbywania praktyk </w:t>
            </w:r>
          </w:p>
        </w:tc>
        <w:tc>
          <w:tcPr>
            <w:tcW w:w="2039" w:type="pct"/>
          </w:tcPr>
          <w:p w14:paraId="341A9A25" w14:textId="77777777" w:rsidR="00B611A5" w:rsidRPr="00123B7B" w:rsidRDefault="00B611A5" w:rsidP="00D12BE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-</w:t>
            </w:r>
          </w:p>
        </w:tc>
      </w:tr>
    </w:tbl>
    <w:p w14:paraId="1D08E5F6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 xml:space="preserve">7. LITERATURA </w:t>
      </w:r>
    </w:p>
    <w:p w14:paraId="796AD745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B611A5" w:rsidRPr="00123B7B" w14:paraId="269AC938" w14:textId="77777777" w:rsidTr="6CDC0099">
        <w:trPr>
          <w:trHeight w:val="397"/>
        </w:trPr>
        <w:tc>
          <w:tcPr>
            <w:tcW w:w="5000" w:type="pct"/>
          </w:tcPr>
          <w:p w14:paraId="12D16828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podstawowa:</w:t>
            </w:r>
          </w:p>
          <w:p w14:paraId="06958433" w14:textId="77777777" w:rsidR="00B611A5" w:rsidRPr="00123B7B" w:rsidRDefault="00B611A5" w:rsidP="00934AB5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Owsiak S., Finanse publiczne. Współczesne ujęcie, PWN, Warszawa 2017.</w:t>
            </w:r>
          </w:p>
          <w:p w14:paraId="30FD5ED0" w14:textId="77777777" w:rsidR="00B611A5" w:rsidRPr="00123B7B" w:rsidRDefault="00B611A5" w:rsidP="00934AB5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Winiarska K. (red.), Sprawozdawczość finansowa i budżetowa jednostek sektora finansów publicznych, Wolters Kluwer, Warszawa 2016.</w:t>
            </w:r>
          </w:p>
          <w:p w14:paraId="032B1394" w14:textId="77777777" w:rsidR="00B611A5" w:rsidRPr="00123B7B" w:rsidRDefault="00B611A5" w:rsidP="00934AB5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Heciak S., Finanse i rachunkowość sektora publicznego, Presscom, Wrocław 2014.</w:t>
            </w:r>
          </w:p>
        </w:tc>
      </w:tr>
      <w:tr w:rsidR="00B611A5" w:rsidRPr="00123B7B" w14:paraId="77E18082" w14:textId="77777777" w:rsidTr="6CDC0099">
        <w:trPr>
          <w:trHeight w:val="397"/>
        </w:trPr>
        <w:tc>
          <w:tcPr>
            <w:tcW w:w="5000" w:type="pct"/>
          </w:tcPr>
          <w:p w14:paraId="1B262285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uzupełniająca:</w:t>
            </w:r>
          </w:p>
          <w:p w14:paraId="21070323" w14:textId="77777777" w:rsidR="00B611A5" w:rsidRPr="00123B7B" w:rsidRDefault="00B611A5" w:rsidP="0086619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Kowalczyk M., Podstawy analizy ekonomiczno-finansowej w jednostkach samorządu terytorialnego, Difin, Warszawa 2017.</w:t>
            </w:r>
          </w:p>
          <w:p w14:paraId="25101FBF" w14:textId="77777777" w:rsidR="00B611A5" w:rsidRPr="00123B7B" w:rsidRDefault="00EF7E86" w:rsidP="0086619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hyperlink r:id="rId10" w:history="1">
              <w:r w:rsidR="00B611A5" w:rsidRPr="00123B7B">
                <w:rPr>
                  <w:rFonts w:ascii="Corbel" w:hAnsi="Corbel" w:cs="Corbel"/>
                  <w:b w:val="0"/>
                  <w:bCs w:val="0"/>
                  <w:smallCaps w:val="0"/>
                  <w:color w:val="000000"/>
                  <w:sz w:val="22"/>
                  <w:szCs w:val="22"/>
                </w:rPr>
                <w:t>Dylewski</w:t>
              </w:r>
            </w:hyperlink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M., </w:t>
            </w:r>
            <w:hyperlink r:id="rId11" w:history="1">
              <w:r w:rsidR="00B611A5" w:rsidRPr="00123B7B">
                <w:rPr>
                  <w:rFonts w:ascii="Corbel" w:hAnsi="Corbel" w:cs="Corbel"/>
                  <w:b w:val="0"/>
                  <w:bCs w:val="0"/>
                  <w:smallCaps w:val="0"/>
                  <w:color w:val="000000"/>
                  <w:sz w:val="22"/>
                  <w:szCs w:val="22"/>
                </w:rPr>
                <w:t>Filipiak</w:t>
              </w:r>
            </w:hyperlink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B., </w:t>
            </w:r>
            <w:hyperlink r:id="rId12" w:history="1">
              <w:r w:rsidR="00B611A5" w:rsidRPr="00123B7B">
                <w:rPr>
                  <w:rFonts w:ascii="Corbel" w:hAnsi="Corbel" w:cs="Corbel"/>
                  <w:b w:val="0"/>
                  <w:bCs w:val="0"/>
                  <w:smallCaps w:val="0"/>
                  <w:color w:val="000000"/>
                  <w:sz w:val="22"/>
                  <w:szCs w:val="22"/>
                </w:rPr>
                <w:t>Zioło</w:t>
              </w:r>
            </w:hyperlink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M., </w:t>
            </w:r>
            <w:hyperlink r:id="rId13" w:history="1">
              <w:r w:rsidR="00B611A5" w:rsidRPr="00123B7B">
                <w:rPr>
                  <w:rFonts w:ascii="Corbel" w:hAnsi="Corbel" w:cs="Corbel"/>
                  <w:b w:val="0"/>
                  <w:bCs w:val="0"/>
                  <w:smallCaps w:val="0"/>
                  <w:color w:val="000000"/>
                  <w:sz w:val="22"/>
                  <w:szCs w:val="22"/>
                </w:rPr>
                <w:t>Gorzałczyńska-Koczkodaj</w:t>
              </w:r>
            </w:hyperlink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M., Finanse publiczne: aspekty </w:t>
            </w:r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lastRenderedPageBreak/>
              <w:t xml:space="preserve">teoretyczne i praktyczne, </w:t>
            </w:r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Wydawnictwo C. H. Beck, Warszawa 2014.</w:t>
            </w:r>
          </w:p>
          <w:p w14:paraId="769EA78B" w14:textId="77777777" w:rsidR="00B611A5" w:rsidRPr="00123B7B" w:rsidRDefault="00B611A5" w:rsidP="0086619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Kaczurak-Kozak M., Walczak P., Culepa M., Vademecum głównego księgowego jednostki finansów publicznych, Wydawnictwo C.H. Beck, Warszawa 2014.</w:t>
            </w:r>
          </w:p>
          <w:p w14:paraId="3F8E7270" w14:textId="77777777" w:rsidR="00B611A5" w:rsidRPr="00123B7B" w:rsidRDefault="00B611A5" w:rsidP="004144E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Gabrusewicz T., Marchewka-Bartkowiak K., Wiśniewski M. (red.), Rachunkowość, finanse, audyt i kontrola: studium przypadków sektora publicznego i prywatnego, CeDeWu, Warszawa, 2013.</w:t>
            </w:r>
          </w:p>
          <w:p w14:paraId="4852B50B" w14:textId="7212AB51" w:rsidR="00B611A5" w:rsidRPr="00123B7B" w:rsidRDefault="00B611A5" w:rsidP="6CDC009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6CDC0099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Jastrzębska M., Finanse jednostek samorządu terytorialnego, Wolters Kluwer, Warszawa 2012. </w:t>
            </w:r>
          </w:p>
          <w:p w14:paraId="149329D7" w14:textId="7ADEA25C" w:rsidR="00B611A5" w:rsidRPr="00EF2046" w:rsidRDefault="1BE5D53F" w:rsidP="6CDC009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Corbel" w:hAnsi="Corbel" w:cs="Corbel"/>
                <w:b w:val="0"/>
                <w:bCs w:val="0"/>
                <w:smallCaps w:val="0"/>
                <w:color w:val="000000" w:themeColor="text1"/>
              </w:rPr>
            </w:pP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Kata R., </w:t>
            </w:r>
            <w:r w:rsidRPr="00EF2046">
              <w:rPr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 xml:space="preserve">Ryzyko finansowe w kontekście zadłużenia jednostek samorządu terytorialnego w Polsce, </w:t>
            </w: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>„Optimum. Studia Ekonomiczne”, nr 4(76),</w:t>
            </w:r>
            <w:r w:rsidR="1F9DBC7B"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2015,</w:t>
            </w: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s. 54-71</w:t>
            </w:r>
            <w:r w:rsidR="446342F5"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>.</w:t>
            </w:r>
          </w:p>
          <w:p w14:paraId="56C8FEBD" w14:textId="461DD8B0" w:rsidR="00B611A5" w:rsidRPr="00123B7B" w:rsidRDefault="446342F5" w:rsidP="6CDC009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Corbel" w:hAnsi="Corbel" w:cs="Corbel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Kata R., </w:t>
            </w:r>
            <w:r w:rsidRPr="00EF2046">
              <w:rPr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>Poziom oraz struktura wydatków inwestycyjnych gmin w Polsce a ich dochody podatkowe i majątkowe</w:t>
            </w: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>, „Finanse Komunalne”, nr 9(236),</w:t>
            </w:r>
            <w:r w:rsidR="42FF0A8E"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2018</w:t>
            </w: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s. 5-18.</w:t>
            </w:r>
          </w:p>
        </w:tc>
      </w:tr>
    </w:tbl>
    <w:p w14:paraId="210BF1FD" w14:textId="77777777" w:rsidR="00B611A5" w:rsidRPr="00123B7B" w:rsidRDefault="00B611A5" w:rsidP="00C9412C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624F4D00" w14:textId="77777777" w:rsidR="00B611A5" w:rsidRPr="00123B7B" w:rsidRDefault="00B611A5" w:rsidP="00C9412C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1749EDE4" w14:textId="77777777" w:rsidR="00B611A5" w:rsidRPr="00123B7B" w:rsidRDefault="00B611A5" w:rsidP="00C9412C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0A380518" w14:textId="77777777" w:rsidR="00B611A5" w:rsidRPr="00123B7B" w:rsidRDefault="00B611A5" w:rsidP="00C9412C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123B7B">
        <w:rPr>
          <w:rFonts w:ascii="Corbel" w:hAnsi="Corbel" w:cs="Corbel"/>
          <w:b w:val="0"/>
          <w:bCs w:val="0"/>
          <w:smallCaps w:val="0"/>
          <w:sz w:val="22"/>
          <w:szCs w:val="22"/>
        </w:rPr>
        <w:t>Akceptacja Kierownika Jednostki lub osoby upoważnionej</w:t>
      </w:r>
    </w:p>
    <w:p w14:paraId="22282537" w14:textId="77777777" w:rsidR="00B611A5" w:rsidRPr="00123B7B" w:rsidRDefault="00B611A5" w:rsidP="00C9412C">
      <w:pPr>
        <w:spacing w:line="240" w:lineRule="auto"/>
        <w:rPr>
          <w:rFonts w:ascii="Corbel" w:hAnsi="Corbel" w:cs="Corbel"/>
        </w:rPr>
      </w:pPr>
    </w:p>
    <w:sectPr w:rsidR="00B611A5" w:rsidRPr="00123B7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267F53" w14:textId="77777777" w:rsidR="00EF7E86" w:rsidRDefault="00EF7E86" w:rsidP="00C24C3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F3D6689" w14:textId="77777777" w:rsidR="00EF7E86" w:rsidRDefault="00EF7E86" w:rsidP="00C24C3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492CC8" w14:textId="77777777" w:rsidR="00EF7E86" w:rsidRDefault="00EF7E86" w:rsidP="00C24C3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6E6B569B" w14:textId="77777777" w:rsidR="00EF7E86" w:rsidRDefault="00EF7E86" w:rsidP="00C24C3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C200F30C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432E5B"/>
    <w:multiLevelType w:val="hybridMultilevel"/>
    <w:tmpl w:val="23061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E81E8C"/>
    <w:multiLevelType w:val="hybridMultilevel"/>
    <w:tmpl w:val="3DCAD666"/>
    <w:lvl w:ilvl="0" w:tplc="7E6ED8C0">
      <w:start w:val="1"/>
      <w:numFmt w:val="decimal"/>
      <w:lvlText w:val="%1."/>
      <w:lvlJc w:val="left"/>
      <w:pPr>
        <w:ind w:left="720" w:hanging="360"/>
      </w:pPr>
    </w:lvl>
    <w:lvl w:ilvl="1" w:tplc="B6C8A7FA">
      <w:start w:val="1"/>
      <w:numFmt w:val="lowerLetter"/>
      <w:lvlText w:val="%2."/>
      <w:lvlJc w:val="left"/>
      <w:pPr>
        <w:ind w:left="1440" w:hanging="360"/>
      </w:pPr>
    </w:lvl>
    <w:lvl w:ilvl="2" w:tplc="D1789DD4">
      <w:start w:val="1"/>
      <w:numFmt w:val="lowerRoman"/>
      <w:lvlText w:val="%3."/>
      <w:lvlJc w:val="right"/>
      <w:pPr>
        <w:ind w:left="2160" w:hanging="180"/>
      </w:pPr>
    </w:lvl>
    <w:lvl w:ilvl="3" w:tplc="44C6AC02">
      <w:start w:val="1"/>
      <w:numFmt w:val="decimal"/>
      <w:lvlText w:val="%4."/>
      <w:lvlJc w:val="left"/>
      <w:pPr>
        <w:ind w:left="2880" w:hanging="360"/>
      </w:pPr>
    </w:lvl>
    <w:lvl w:ilvl="4" w:tplc="7DE2A5D8">
      <w:start w:val="1"/>
      <w:numFmt w:val="lowerLetter"/>
      <w:lvlText w:val="%5."/>
      <w:lvlJc w:val="left"/>
      <w:pPr>
        <w:ind w:left="3600" w:hanging="360"/>
      </w:pPr>
    </w:lvl>
    <w:lvl w:ilvl="5" w:tplc="F5B48D86">
      <w:start w:val="1"/>
      <w:numFmt w:val="lowerRoman"/>
      <w:lvlText w:val="%6."/>
      <w:lvlJc w:val="right"/>
      <w:pPr>
        <w:ind w:left="4320" w:hanging="180"/>
      </w:pPr>
    </w:lvl>
    <w:lvl w:ilvl="6" w:tplc="B846C75E">
      <w:start w:val="1"/>
      <w:numFmt w:val="decimal"/>
      <w:lvlText w:val="%7."/>
      <w:lvlJc w:val="left"/>
      <w:pPr>
        <w:ind w:left="5040" w:hanging="360"/>
      </w:pPr>
    </w:lvl>
    <w:lvl w:ilvl="7" w:tplc="FB4C429E">
      <w:start w:val="1"/>
      <w:numFmt w:val="lowerLetter"/>
      <w:lvlText w:val="%8."/>
      <w:lvlJc w:val="left"/>
      <w:pPr>
        <w:ind w:left="5760" w:hanging="360"/>
      </w:pPr>
    </w:lvl>
    <w:lvl w:ilvl="8" w:tplc="05BC656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A852AA"/>
    <w:multiLevelType w:val="hybridMultilevel"/>
    <w:tmpl w:val="21FE5BA8"/>
    <w:lvl w:ilvl="0" w:tplc="96DCFA20">
      <w:start w:val="1"/>
      <w:numFmt w:val="decimal"/>
      <w:lvlText w:val="%1."/>
      <w:lvlJc w:val="left"/>
      <w:pPr>
        <w:ind w:left="720" w:hanging="360"/>
      </w:pPr>
    </w:lvl>
    <w:lvl w:ilvl="1" w:tplc="5648A020">
      <w:start w:val="1"/>
      <w:numFmt w:val="lowerLetter"/>
      <w:lvlText w:val="%2."/>
      <w:lvlJc w:val="left"/>
      <w:pPr>
        <w:ind w:left="1440" w:hanging="360"/>
      </w:pPr>
    </w:lvl>
    <w:lvl w:ilvl="2" w:tplc="5F64E9C4">
      <w:start w:val="1"/>
      <w:numFmt w:val="lowerRoman"/>
      <w:lvlText w:val="%3."/>
      <w:lvlJc w:val="right"/>
      <w:pPr>
        <w:ind w:left="2160" w:hanging="180"/>
      </w:pPr>
    </w:lvl>
    <w:lvl w:ilvl="3" w:tplc="C2D01CD4">
      <w:start w:val="1"/>
      <w:numFmt w:val="decimal"/>
      <w:lvlText w:val="%4."/>
      <w:lvlJc w:val="left"/>
      <w:pPr>
        <w:ind w:left="2880" w:hanging="360"/>
      </w:pPr>
    </w:lvl>
    <w:lvl w:ilvl="4" w:tplc="36E8AA14">
      <w:start w:val="1"/>
      <w:numFmt w:val="lowerLetter"/>
      <w:lvlText w:val="%5."/>
      <w:lvlJc w:val="left"/>
      <w:pPr>
        <w:ind w:left="3600" w:hanging="360"/>
      </w:pPr>
    </w:lvl>
    <w:lvl w:ilvl="5" w:tplc="4C00FE8E">
      <w:start w:val="1"/>
      <w:numFmt w:val="lowerRoman"/>
      <w:lvlText w:val="%6."/>
      <w:lvlJc w:val="right"/>
      <w:pPr>
        <w:ind w:left="4320" w:hanging="180"/>
      </w:pPr>
    </w:lvl>
    <w:lvl w:ilvl="6" w:tplc="4C48CC56">
      <w:start w:val="1"/>
      <w:numFmt w:val="decimal"/>
      <w:lvlText w:val="%7."/>
      <w:lvlJc w:val="left"/>
      <w:pPr>
        <w:ind w:left="5040" w:hanging="360"/>
      </w:pPr>
    </w:lvl>
    <w:lvl w:ilvl="7" w:tplc="76EA6748">
      <w:start w:val="1"/>
      <w:numFmt w:val="lowerLetter"/>
      <w:lvlText w:val="%8."/>
      <w:lvlJc w:val="left"/>
      <w:pPr>
        <w:ind w:left="5760" w:hanging="360"/>
      </w:pPr>
    </w:lvl>
    <w:lvl w:ilvl="8" w:tplc="B5B68A8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3F7B95"/>
    <w:multiLevelType w:val="hybridMultilevel"/>
    <w:tmpl w:val="98405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2617D"/>
    <w:multiLevelType w:val="hybridMultilevel"/>
    <w:tmpl w:val="88967A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F4539E"/>
    <w:multiLevelType w:val="hybridMultilevel"/>
    <w:tmpl w:val="1E82CFB4"/>
    <w:lvl w:ilvl="0" w:tplc="F6A0F77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E643C5"/>
    <w:multiLevelType w:val="hybridMultilevel"/>
    <w:tmpl w:val="1E0ABA6C"/>
    <w:lvl w:ilvl="0" w:tplc="5FA22AB0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12C"/>
    <w:rsid w:val="000079CC"/>
    <w:rsid w:val="00026510"/>
    <w:rsid w:val="00041EDC"/>
    <w:rsid w:val="00063510"/>
    <w:rsid w:val="0007428C"/>
    <w:rsid w:val="000A356E"/>
    <w:rsid w:val="000E68A5"/>
    <w:rsid w:val="000E7716"/>
    <w:rsid w:val="00107771"/>
    <w:rsid w:val="00112412"/>
    <w:rsid w:val="00123B7B"/>
    <w:rsid w:val="00132C92"/>
    <w:rsid w:val="00183AAB"/>
    <w:rsid w:val="00192F42"/>
    <w:rsid w:val="001C0375"/>
    <w:rsid w:val="001C3F41"/>
    <w:rsid w:val="001D7FCD"/>
    <w:rsid w:val="00252752"/>
    <w:rsid w:val="002615CC"/>
    <w:rsid w:val="002716CC"/>
    <w:rsid w:val="00274CFD"/>
    <w:rsid w:val="00286F03"/>
    <w:rsid w:val="002A0DE2"/>
    <w:rsid w:val="002C4390"/>
    <w:rsid w:val="002C6F93"/>
    <w:rsid w:val="002F741B"/>
    <w:rsid w:val="003179A6"/>
    <w:rsid w:val="003862F3"/>
    <w:rsid w:val="003938ED"/>
    <w:rsid w:val="003B755C"/>
    <w:rsid w:val="003F6001"/>
    <w:rsid w:val="004144E6"/>
    <w:rsid w:val="00424F45"/>
    <w:rsid w:val="00441B52"/>
    <w:rsid w:val="00455066"/>
    <w:rsid w:val="00457AFE"/>
    <w:rsid w:val="00457E93"/>
    <w:rsid w:val="00472C9A"/>
    <w:rsid w:val="00475880"/>
    <w:rsid w:val="004E4E3D"/>
    <w:rsid w:val="004EF619"/>
    <w:rsid w:val="005009B4"/>
    <w:rsid w:val="00515001"/>
    <w:rsid w:val="005320A0"/>
    <w:rsid w:val="005418D1"/>
    <w:rsid w:val="00573FDB"/>
    <w:rsid w:val="005B5A76"/>
    <w:rsid w:val="005F22C2"/>
    <w:rsid w:val="005F66CA"/>
    <w:rsid w:val="00603A5D"/>
    <w:rsid w:val="006137B1"/>
    <w:rsid w:val="006212E1"/>
    <w:rsid w:val="00666379"/>
    <w:rsid w:val="00683140"/>
    <w:rsid w:val="006B5B3C"/>
    <w:rsid w:val="006C6C10"/>
    <w:rsid w:val="006D6567"/>
    <w:rsid w:val="006F300A"/>
    <w:rsid w:val="006F360C"/>
    <w:rsid w:val="006F6A9F"/>
    <w:rsid w:val="007040D8"/>
    <w:rsid w:val="007042E1"/>
    <w:rsid w:val="00725FBD"/>
    <w:rsid w:val="00743A37"/>
    <w:rsid w:val="00746A35"/>
    <w:rsid w:val="0077045C"/>
    <w:rsid w:val="0078133F"/>
    <w:rsid w:val="00795EA0"/>
    <w:rsid w:val="007C3E46"/>
    <w:rsid w:val="00835514"/>
    <w:rsid w:val="00845300"/>
    <w:rsid w:val="008469A8"/>
    <w:rsid w:val="00857315"/>
    <w:rsid w:val="0085747A"/>
    <w:rsid w:val="0086619F"/>
    <w:rsid w:val="00872481"/>
    <w:rsid w:val="008C2F3C"/>
    <w:rsid w:val="008E53F7"/>
    <w:rsid w:val="00920A29"/>
    <w:rsid w:val="00934202"/>
    <w:rsid w:val="00934AB5"/>
    <w:rsid w:val="00934F85"/>
    <w:rsid w:val="009A1D01"/>
    <w:rsid w:val="009B4FF5"/>
    <w:rsid w:val="009B5D0E"/>
    <w:rsid w:val="009C54AE"/>
    <w:rsid w:val="009C78D6"/>
    <w:rsid w:val="009E58A0"/>
    <w:rsid w:val="00A16C1D"/>
    <w:rsid w:val="00A40AEA"/>
    <w:rsid w:val="00A458AB"/>
    <w:rsid w:val="00AA1050"/>
    <w:rsid w:val="00AE39DF"/>
    <w:rsid w:val="00B00EAF"/>
    <w:rsid w:val="00B51BAD"/>
    <w:rsid w:val="00B611A5"/>
    <w:rsid w:val="00B65818"/>
    <w:rsid w:val="00B6751C"/>
    <w:rsid w:val="00B75BA6"/>
    <w:rsid w:val="00B82C20"/>
    <w:rsid w:val="00BD7427"/>
    <w:rsid w:val="00C01156"/>
    <w:rsid w:val="00C24C3A"/>
    <w:rsid w:val="00C2703A"/>
    <w:rsid w:val="00C44DB0"/>
    <w:rsid w:val="00C72E3B"/>
    <w:rsid w:val="00C842B7"/>
    <w:rsid w:val="00C9412C"/>
    <w:rsid w:val="00CC6A1D"/>
    <w:rsid w:val="00CF7B60"/>
    <w:rsid w:val="00D12BEC"/>
    <w:rsid w:val="00D22E34"/>
    <w:rsid w:val="00D3784C"/>
    <w:rsid w:val="00D44893"/>
    <w:rsid w:val="00D62F68"/>
    <w:rsid w:val="00D657B3"/>
    <w:rsid w:val="00D75AFE"/>
    <w:rsid w:val="00D77C3A"/>
    <w:rsid w:val="00D86055"/>
    <w:rsid w:val="00D86D5D"/>
    <w:rsid w:val="00DE0CCD"/>
    <w:rsid w:val="00E11A88"/>
    <w:rsid w:val="00E15B9F"/>
    <w:rsid w:val="00E1710D"/>
    <w:rsid w:val="00E21860"/>
    <w:rsid w:val="00E2572B"/>
    <w:rsid w:val="00E332E8"/>
    <w:rsid w:val="00E41C08"/>
    <w:rsid w:val="00E833E5"/>
    <w:rsid w:val="00EA30CB"/>
    <w:rsid w:val="00EE4C08"/>
    <w:rsid w:val="00EF2046"/>
    <w:rsid w:val="00EF5127"/>
    <w:rsid w:val="00EF5884"/>
    <w:rsid w:val="00EF7E86"/>
    <w:rsid w:val="00F322FF"/>
    <w:rsid w:val="00F63183"/>
    <w:rsid w:val="00F705A0"/>
    <w:rsid w:val="00F719E3"/>
    <w:rsid w:val="00F9050C"/>
    <w:rsid w:val="05D3C73C"/>
    <w:rsid w:val="094CE0AC"/>
    <w:rsid w:val="0BE121EA"/>
    <w:rsid w:val="1BE5D53F"/>
    <w:rsid w:val="1F9DBC7B"/>
    <w:rsid w:val="313AC7F2"/>
    <w:rsid w:val="42FF0A8E"/>
    <w:rsid w:val="446342F5"/>
    <w:rsid w:val="464EFC81"/>
    <w:rsid w:val="5108B0B9"/>
    <w:rsid w:val="52F1CA36"/>
    <w:rsid w:val="5CB16603"/>
    <w:rsid w:val="64CE38DD"/>
    <w:rsid w:val="6A717E3C"/>
    <w:rsid w:val="6CDC0099"/>
    <w:rsid w:val="7653BA4E"/>
    <w:rsid w:val="7C1B5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70D6E5"/>
  <w15:docId w15:val="{2F65AB0B-1A04-4F1E-BF44-95F73FCF5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412C"/>
    <w:pPr>
      <w:spacing w:after="200" w:line="276" w:lineRule="auto"/>
    </w:pPr>
    <w:rPr>
      <w:rFonts w:eastAsia="Times New Roman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unktygwne">
    <w:name w:val="Punkty główne"/>
    <w:basedOn w:val="Normalny"/>
    <w:uiPriority w:val="99"/>
    <w:rsid w:val="00C9412C"/>
    <w:pPr>
      <w:spacing w:before="240" w:after="60" w:line="240" w:lineRule="auto"/>
    </w:pPr>
    <w:rPr>
      <w:rFonts w:ascii="Times New Roman" w:hAnsi="Times New Roman" w:cs="Times New Roman"/>
      <w:b/>
      <w:bCs/>
      <w:smallCaps/>
      <w:sz w:val="24"/>
      <w:szCs w:val="24"/>
    </w:rPr>
  </w:style>
  <w:style w:type="paragraph" w:styleId="Akapitzlist">
    <w:name w:val="List Paragraph"/>
    <w:basedOn w:val="Normalny"/>
    <w:uiPriority w:val="99"/>
    <w:qFormat/>
    <w:rsid w:val="00C9412C"/>
    <w:pPr>
      <w:ind w:left="720"/>
    </w:pPr>
    <w:rPr>
      <w:rFonts w:eastAsia="Calibri"/>
    </w:rPr>
  </w:style>
  <w:style w:type="paragraph" w:customStyle="1" w:styleId="Pytania">
    <w:name w:val="Pytania"/>
    <w:basedOn w:val="Tekstpodstawowy"/>
    <w:uiPriority w:val="99"/>
    <w:rsid w:val="00C9412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lang w:eastAsia="pl-PL"/>
    </w:rPr>
  </w:style>
  <w:style w:type="paragraph" w:customStyle="1" w:styleId="Odpowiedzi">
    <w:name w:val="Odpowiedzi"/>
    <w:basedOn w:val="Normalny"/>
    <w:uiPriority w:val="99"/>
    <w:rsid w:val="00C9412C"/>
    <w:pPr>
      <w:spacing w:before="40" w:after="40" w:line="240" w:lineRule="auto"/>
    </w:pPr>
    <w:rPr>
      <w:rFonts w:eastAsia="Calibri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C9412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b/>
      <w:bCs/>
      <w:lang w:eastAsia="pl-PL"/>
    </w:rPr>
  </w:style>
  <w:style w:type="paragraph" w:customStyle="1" w:styleId="Cele">
    <w:name w:val="Cele"/>
    <w:basedOn w:val="Tekstpodstawowy"/>
    <w:uiPriority w:val="99"/>
    <w:rsid w:val="00C9412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lang w:eastAsia="pl-PL"/>
    </w:rPr>
  </w:style>
  <w:style w:type="paragraph" w:customStyle="1" w:styleId="Nagwkitablic">
    <w:name w:val="Nagłówki tablic"/>
    <w:basedOn w:val="Tekstpodstawowy"/>
    <w:uiPriority w:val="99"/>
    <w:rsid w:val="00C9412C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C9412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C9412C"/>
    <w:rPr>
      <w:rFonts w:cs="Calibri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C9412C"/>
    <w:pPr>
      <w:spacing w:after="120"/>
    </w:pPr>
    <w:rPr>
      <w:rFonts w:eastAsia="Calibri"/>
      <w:sz w:val="20"/>
      <w:szCs w:val="20"/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C9412C"/>
    <w:rPr>
      <w:rFonts w:ascii="Calibri" w:hAnsi="Calibri" w:cs="Calibri"/>
    </w:rPr>
  </w:style>
  <w:style w:type="table" w:styleId="Tabela-Siatka">
    <w:name w:val="Table Grid"/>
    <w:basedOn w:val="Standardowy"/>
    <w:uiPriority w:val="99"/>
    <w:rsid w:val="00C9412C"/>
    <w:rPr>
      <w:rFonts w:ascii="Cambria" w:hAnsi="Cambria"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99"/>
    <w:qFormat/>
    <w:locked/>
    <w:rsid w:val="006F300A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57E9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833E5"/>
    <w:rPr>
      <w:rFonts w:eastAsia="Times New Roman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457E93"/>
    <w:rPr>
      <w:vertAlign w:val="superscript"/>
    </w:rPr>
  </w:style>
  <w:style w:type="character" w:styleId="Hipercze">
    <w:name w:val="Hyperlink"/>
    <w:basedOn w:val="Domylnaczcionkaakapitu"/>
    <w:uiPriority w:val="99"/>
    <w:rsid w:val="007040D8"/>
    <w:rPr>
      <w:color w:val="0000FF"/>
      <w:u w:val="single"/>
    </w:rPr>
  </w:style>
  <w:style w:type="paragraph" w:customStyle="1" w:styleId="Akapitzlist1">
    <w:name w:val="Akapit z listą1"/>
    <w:basedOn w:val="Normalny"/>
    <w:uiPriority w:val="99"/>
    <w:rsid w:val="005009B4"/>
    <w:pPr>
      <w:ind w:left="720"/>
    </w:pPr>
  </w:style>
  <w:style w:type="paragraph" w:customStyle="1" w:styleId="paragraph">
    <w:name w:val="paragraph"/>
    <w:basedOn w:val="Normalny"/>
    <w:rsid w:val="00F6318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63183"/>
  </w:style>
  <w:style w:type="character" w:customStyle="1" w:styleId="spellingerror">
    <w:name w:val="spellingerror"/>
    <w:basedOn w:val="Domylnaczcionkaakapitu"/>
    <w:rsid w:val="00F63183"/>
  </w:style>
  <w:style w:type="character" w:customStyle="1" w:styleId="eop">
    <w:name w:val="eop"/>
    <w:basedOn w:val="Domylnaczcionkaakapitu"/>
    <w:rsid w:val="00F631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76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ksiegarnia.beck.pl/autorzy/malgorzata-gorzalczynska-koczkodaj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ksiegarnia.beck.pl/autorzy/magdalena-ziolo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ksiegarnia.beck.pl/autorzy/beata-filipiak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ksiegarnia.beck.pl/autorzy/marek-dylewski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4B1A99-3460-458A-8D12-05C94BEC70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221620-BA1B-436D-AFE9-0815946709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C7211C-8849-4EA8-8A71-6F33D406DE0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1531</Words>
  <Characters>9186</Characters>
  <Application>Microsoft Office Word</Application>
  <DocSecurity>0</DocSecurity>
  <Lines>76</Lines>
  <Paragraphs>21</Paragraphs>
  <ScaleCrop>false</ScaleCrop>
  <Company>Hewlett-Packard</Company>
  <LinksUpToDate>false</LinksUpToDate>
  <CharactersWithSpaces>10696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Paulina Filip</dc:creator>
  <cp:keywords/>
  <dc:description/>
  <cp:lastModifiedBy>User</cp:lastModifiedBy>
  <cp:revision>22</cp:revision>
  <dcterms:created xsi:type="dcterms:W3CDTF">2020-11-17T07:23:00Z</dcterms:created>
  <dcterms:modified xsi:type="dcterms:W3CDTF">2024-01-24T10:05:00Z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