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9CAEF7" w14:textId="77777777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D8678B" w:rsidRPr="00D22DB5">
        <w:rPr>
          <w:rFonts w:ascii="Corbel" w:hAnsi="Corbel"/>
          <w:bCs/>
          <w:i/>
        </w:rPr>
        <w:t xml:space="preserve">Załącznik nr </w:t>
      </w:r>
      <w:r w:rsidR="006F31E2" w:rsidRPr="00D22DB5">
        <w:rPr>
          <w:rFonts w:ascii="Corbel" w:hAnsi="Corbel"/>
          <w:bCs/>
          <w:i/>
        </w:rPr>
        <w:t>1.5</w:t>
      </w:r>
      <w:r w:rsidR="00D8678B" w:rsidRPr="00D22DB5">
        <w:rPr>
          <w:rFonts w:ascii="Corbel" w:hAnsi="Corbel"/>
          <w:bCs/>
          <w:i/>
        </w:rPr>
        <w:t xml:space="preserve"> do Zarządzenia</w:t>
      </w:r>
      <w:r w:rsidR="002A22BF" w:rsidRPr="00D22DB5">
        <w:rPr>
          <w:rFonts w:ascii="Corbel" w:hAnsi="Corbel"/>
          <w:bCs/>
          <w:i/>
        </w:rPr>
        <w:t xml:space="preserve"> Rektora UR </w:t>
      </w:r>
      <w:r w:rsidRPr="00D22DB5">
        <w:rPr>
          <w:rFonts w:ascii="Corbel" w:hAnsi="Corbel"/>
          <w:bCs/>
          <w:i/>
        </w:rPr>
        <w:t xml:space="preserve"> nr </w:t>
      </w:r>
      <w:r w:rsidR="00F17567" w:rsidRPr="00D22DB5">
        <w:rPr>
          <w:rFonts w:ascii="Corbel" w:hAnsi="Corbel"/>
          <w:bCs/>
          <w:i/>
        </w:rPr>
        <w:t>12/2019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03FCA400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22DB5">
        <w:rPr>
          <w:rFonts w:ascii="Corbel" w:hAnsi="Corbel"/>
          <w:iCs/>
          <w:smallCaps/>
          <w:sz w:val="24"/>
          <w:szCs w:val="24"/>
        </w:rPr>
        <w:t>2020-2023</w:t>
      </w:r>
      <w:r w:rsidR="00DC6D0C" w:rsidRPr="00D22DB5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2CB98F83" w14:textId="2917244B" w:rsidR="00445970" w:rsidRPr="00D22DB5" w:rsidRDefault="00445970" w:rsidP="002C7CD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D22DB5">
        <w:rPr>
          <w:rFonts w:ascii="Corbel" w:hAnsi="Corbel"/>
          <w:sz w:val="20"/>
          <w:szCs w:val="20"/>
        </w:rPr>
        <w:t xml:space="preserve">Rok akademicki  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044943">
        <w:rPr>
          <w:rFonts w:ascii="Corbel" w:hAnsi="Corbel"/>
          <w:sz w:val="20"/>
          <w:szCs w:val="20"/>
        </w:rPr>
        <w:t>2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044943">
        <w:rPr>
          <w:rFonts w:ascii="Corbel" w:hAnsi="Corbel"/>
          <w:sz w:val="20"/>
          <w:szCs w:val="20"/>
        </w:rPr>
        <w:t>3</w:t>
      </w:r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62C1BD8B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Finansowanie sektora ochrony zdrowia</w:t>
            </w:r>
          </w:p>
        </w:tc>
      </w:tr>
      <w:tr w:rsidR="00D22B96" w:rsidRPr="00D22DB5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0FA1A3F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D22DB5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749500F6" w:rsidR="00D22B96" w:rsidRPr="00173B87" w:rsidRDefault="00173B87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3B8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4BAF1551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A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4C1443DA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76570ABF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7235A06C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2E2B8E4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Wykł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Konw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Sem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2DB5">
              <w:rPr>
                <w:rFonts w:ascii="Corbel" w:hAnsi="Corbel"/>
                <w:szCs w:val="24"/>
              </w:rPr>
              <w:t>Prakt</w:t>
            </w:r>
            <w:proofErr w:type="spellEnd"/>
            <w:r w:rsidRPr="00D22DB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71DF350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1B02BF6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537605DF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71CC16F9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FB2926" w14:textId="77777777" w:rsidR="0085747A" w:rsidRPr="00D22D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1.</w:t>
      </w:r>
      <w:r w:rsidR="00E22FBC" w:rsidRPr="00D22DB5">
        <w:rPr>
          <w:rFonts w:ascii="Corbel" w:hAnsi="Corbel"/>
          <w:smallCaps w:val="0"/>
          <w:szCs w:val="24"/>
        </w:rPr>
        <w:t>2</w:t>
      </w:r>
      <w:r w:rsidR="00F83B28" w:rsidRPr="00D22DB5">
        <w:rPr>
          <w:rFonts w:ascii="Corbel" w:hAnsi="Corbel"/>
          <w:smallCaps w:val="0"/>
          <w:szCs w:val="24"/>
        </w:rPr>
        <w:t>.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 xml:space="preserve">Sposób realizacji zajęć  </w:t>
      </w:r>
    </w:p>
    <w:p w14:paraId="471D3520" w14:textId="77777777" w:rsidR="007C4A59" w:rsidRPr="00FD7701" w:rsidRDefault="007C4A59" w:rsidP="007C4A5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68BDB99" w14:textId="77777777" w:rsidR="007C4A59" w:rsidRPr="00FD7701" w:rsidRDefault="007C4A59" w:rsidP="007C4A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77777777" w:rsidR="00D22B96" w:rsidRPr="00D22DB5" w:rsidRDefault="00D22B96" w:rsidP="00D22B96">
      <w:pPr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Egzamin </w:t>
      </w:r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7F194963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Student powinien posiadać podstawową wiedzę z zakresu ekonomii, finansów i prawa oraz umiejętność analizy i oceny podstawowych wskaźników finansowych i ekonomicznych.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22B96" w:rsidRPr="00D22DB5" w14:paraId="279E7FC0" w14:textId="77777777" w:rsidTr="00D22B96">
        <w:tc>
          <w:tcPr>
            <w:tcW w:w="841" w:type="dxa"/>
            <w:vAlign w:val="center"/>
          </w:tcPr>
          <w:p w14:paraId="319A3758" w14:textId="636C74D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044A0B41" w14:textId="52CA34A4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problematyki ekonomicznej i prawnej w ochronie zdrowia.</w:t>
            </w:r>
          </w:p>
        </w:tc>
      </w:tr>
      <w:tr w:rsidR="00D22B96" w:rsidRPr="00D22DB5" w14:paraId="0C19DE6E" w14:textId="77777777" w:rsidTr="00D22B96">
        <w:tc>
          <w:tcPr>
            <w:tcW w:w="841" w:type="dxa"/>
            <w:vAlign w:val="center"/>
          </w:tcPr>
          <w:p w14:paraId="0697B901" w14:textId="325252B1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5A0FD16" w14:textId="1B3B255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Zrozumienie przez studentów ekonomicznego kontekstu podejmowania decyzji w ochronie zdrowia oraz specyfiki zarządzania finansami w ochronie zdrowia. </w:t>
            </w:r>
          </w:p>
        </w:tc>
      </w:tr>
      <w:tr w:rsidR="00D22B96" w:rsidRPr="00D22DB5" w14:paraId="599751D1" w14:textId="77777777" w:rsidTr="00D22B96">
        <w:tc>
          <w:tcPr>
            <w:tcW w:w="841" w:type="dxa"/>
            <w:vAlign w:val="center"/>
          </w:tcPr>
          <w:p w14:paraId="025E03E0" w14:textId="47148107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BC75867" w14:textId="78A6BE22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kluczowymi problemami ekonomiczno-finansowymi oraz wskazanie związku pomiędzy organizacją i finansowaniem ochrony zdrowia a jakością opieki zdrowotnej w kontekście przyjętych rozwiązań i planowanych reform.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00D22B96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B96" w:rsidRPr="00D22DB5" w14:paraId="2E5F340B" w14:textId="77777777" w:rsidTr="00D22B96">
        <w:tc>
          <w:tcPr>
            <w:tcW w:w="1681" w:type="dxa"/>
            <w:vAlign w:val="center"/>
          </w:tcPr>
          <w:p w14:paraId="1DECE468" w14:textId="2AB6ABB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4032281" w14:textId="3CE5AF9E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Definiuje podstawowe pojęcia z zakresu ekonomiki zdrowia, podmiotów leczniczych, źródeł i modeli finansowania ochrony zdrowia. </w:t>
            </w:r>
          </w:p>
        </w:tc>
        <w:tc>
          <w:tcPr>
            <w:tcW w:w="1865" w:type="dxa"/>
            <w:vAlign w:val="center"/>
          </w:tcPr>
          <w:p w14:paraId="274F7599" w14:textId="528F2613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2B96" w:rsidRPr="00D22DB5" w14:paraId="2ADD0E81" w14:textId="77777777" w:rsidTr="00D22B96">
        <w:tc>
          <w:tcPr>
            <w:tcW w:w="1681" w:type="dxa"/>
            <w:vAlign w:val="center"/>
          </w:tcPr>
          <w:p w14:paraId="155C4C16" w14:textId="58B4936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DFA36A" w14:textId="22878A7F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Wskazuje rodzaje powiązań podmiotów w sektorze ochrony zdrowia w zakresie organizacyjno-ekonomicznym i finansowym oraz czynniki je kształtujące. </w:t>
            </w:r>
          </w:p>
        </w:tc>
        <w:tc>
          <w:tcPr>
            <w:tcW w:w="1865" w:type="dxa"/>
            <w:vAlign w:val="center"/>
          </w:tcPr>
          <w:p w14:paraId="6E8CCE8E" w14:textId="44D8E6D4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22B96" w:rsidRPr="00D22DB5" w14:paraId="5F3C5748" w14:textId="77777777" w:rsidTr="00D22B96">
        <w:tc>
          <w:tcPr>
            <w:tcW w:w="1681" w:type="dxa"/>
            <w:vAlign w:val="center"/>
          </w:tcPr>
          <w:p w14:paraId="7D823A82" w14:textId="501C31C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0B90A8" w14:textId="64AF56B1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Zna przepisy prawa dotyczące funkcjonowania podmiotów leczniczych oraz instytucji pośredniczących i nadzorujących system zdrowotny.</w:t>
            </w:r>
          </w:p>
        </w:tc>
        <w:tc>
          <w:tcPr>
            <w:tcW w:w="1865" w:type="dxa"/>
            <w:vAlign w:val="center"/>
          </w:tcPr>
          <w:p w14:paraId="3EB92139" w14:textId="359DC09C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22B96" w:rsidRPr="00D22DB5" w14:paraId="308AB93F" w14:textId="77777777" w:rsidTr="00D22B96">
        <w:tc>
          <w:tcPr>
            <w:tcW w:w="1681" w:type="dxa"/>
            <w:vAlign w:val="center"/>
          </w:tcPr>
          <w:p w14:paraId="11A82242" w14:textId="7FF2E14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A37072E" w14:textId="23B890D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Prezentuje aktywną postawę wobec zmieniających się uwarunkowań społeczno-ekonomicznych funkcjonowania systemu ochrony zdrowia, jest gotów do przedsiębiorczego myślenia i działania.</w:t>
            </w:r>
          </w:p>
        </w:tc>
        <w:tc>
          <w:tcPr>
            <w:tcW w:w="1865" w:type="dxa"/>
            <w:vAlign w:val="center"/>
          </w:tcPr>
          <w:p w14:paraId="2C1B5B4F" w14:textId="7A998FA6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111D978F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Problematyka wykładu </w:t>
      </w:r>
    </w:p>
    <w:p w14:paraId="374C0471" w14:textId="77777777" w:rsidR="00675843" w:rsidRPr="00D22DB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679B79C1" w14:textId="77777777" w:rsidTr="00D22B96">
        <w:tc>
          <w:tcPr>
            <w:tcW w:w="9520" w:type="dxa"/>
          </w:tcPr>
          <w:p w14:paraId="7A53456E" w14:textId="77777777" w:rsidR="0085747A" w:rsidRPr="00D22DB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1947432C" w14:textId="77777777" w:rsidTr="00D22B96">
        <w:tc>
          <w:tcPr>
            <w:tcW w:w="9520" w:type="dxa"/>
            <w:vAlign w:val="center"/>
          </w:tcPr>
          <w:p w14:paraId="529AD76D" w14:textId="1CFAA4E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Wprowadzenie do ekonomiki zdrowia i finansowania w ochronie zdrowia – podstawowe pojęcia, modele systemów ochrony zdrowia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model </w:t>
            </w:r>
            <w:proofErr w:type="spellStart"/>
            <w:r w:rsidRPr="00D22DB5">
              <w:rPr>
                <w:rFonts w:ascii="Corbel" w:hAnsi="Corbel"/>
                <w:sz w:val="24"/>
                <w:szCs w:val="24"/>
              </w:rPr>
              <w:t>Beveridge’a</w:t>
            </w:r>
            <w:proofErr w:type="spellEnd"/>
            <w:r w:rsidRPr="00D22DB5">
              <w:rPr>
                <w:rFonts w:ascii="Corbel" w:hAnsi="Corbel"/>
                <w:sz w:val="24"/>
                <w:szCs w:val="24"/>
              </w:rPr>
              <w:t>, model Bismarcka, model rezydualny, model Siemaszki.</w:t>
            </w:r>
          </w:p>
        </w:tc>
      </w:tr>
      <w:tr w:rsidR="00D22B96" w:rsidRPr="00D22DB5" w14:paraId="41A48F6B" w14:textId="77777777" w:rsidTr="00D22B96">
        <w:tc>
          <w:tcPr>
            <w:tcW w:w="9520" w:type="dxa"/>
            <w:vAlign w:val="center"/>
          </w:tcPr>
          <w:p w14:paraId="5DE8A8E7" w14:textId="00154FF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Reformy systemu ochrony zdrowia w Polsce w latach 1997 – 20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>20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22B96" w:rsidRPr="00D22DB5" w14:paraId="75898957" w14:textId="77777777" w:rsidTr="00D22B96">
        <w:tc>
          <w:tcPr>
            <w:tcW w:w="9520" w:type="dxa"/>
            <w:vAlign w:val="center"/>
          </w:tcPr>
          <w:p w14:paraId="611ECC1E" w14:textId="7E26D7D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Narodowe rachunki zdrowia, wydatki publiczne i niepubliczne na ochronę zdrowia w Polsce, rola państwa, samorządów i organizacji pozarządowych w finansowaniu ochrony zdrowia. </w:t>
            </w:r>
          </w:p>
        </w:tc>
      </w:tr>
      <w:tr w:rsidR="00D22B96" w:rsidRPr="00D22DB5" w14:paraId="18BF767B" w14:textId="77777777" w:rsidTr="00D22B96">
        <w:tc>
          <w:tcPr>
            <w:tcW w:w="9520" w:type="dxa"/>
            <w:vAlign w:val="center"/>
          </w:tcPr>
          <w:p w14:paraId="64F1510E" w14:textId="3333193D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Samorząd terytorialny jako podmiot polityki ochrony zdrowia, organizacja i kompetencje poszczególnych szczebli samorządu terytorialnego w zakresie ochrony zdrowia.</w:t>
            </w:r>
          </w:p>
        </w:tc>
      </w:tr>
      <w:tr w:rsidR="00D22B96" w:rsidRPr="00D22DB5" w14:paraId="61EC9043" w14:textId="77777777" w:rsidTr="00D22B96">
        <w:tc>
          <w:tcPr>
            <w:tcW w:w="9520" w:type="dxa"/>
          </w:tcPr>
          <w:p w14:paraId="6986580B" w14:textId="4A5C139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Partnerstwo publiczno-prywatne w finansowaniu ochrony zdrowia. </w:t>
            </w:r>
          </w:p>
        </w:tc>
      </w:tr>
      <w:tr w:rsidR="00D22B96" w:rsidRPr="00D22DB5" w14:paraId="7DFAE4E1" w14:textId="77777777" w:rsidTr="00D22B96">
        <w:tc>
          <w:tcPr>
            <w:tcW w:w="9520" w:type="dxa"/>
            <w:vAlign w:val="center"/>
          </w:tcPr>
          <w:p w14:paraId="514C7A41" w14:textId="4968B7A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Podstawy działalności leczniczej i zasady funkcjonowania podmiotów leczniczych.</w:t>
            </w:r>
          </w:p>
        </w:tc>
      </w:tr>
      <w:tr w:rsidR="00D22B96" w:rsidRPr="00D22DB5" w14:paraId="63E62E5E" w14:textId="77777777" w:rsidTr="00D22B96">
        <w:tc>
          <w:tcPr>
            <w:tcW w:w="9520" w:type="dxa"/>
            <w:vAlign w:val="center"/>
          </w:tcPr>
          <w:p w14:paraId="28F541B3" w14:textId="5159C70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Samodzielny publiczny zakład opieki zdrowotnej – konstrukcja prawna i gospodarka finansowa. </w:t>
            </w:r>
          </w:p>
        </w:tc>
      </w:tr>
    </w:tbl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3DF40374" w14:textId="77777777" w:rsidTr="00D22B96">
        <w:tc>
          <w:tcPr>
            <w:tcW w:w="9520" w:type="dxa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76FA18AB" w14:textId="77777777" w:rsidTr="00D22B96">
        <w:tc>
          <w:tcPr>
            <w:tcW w:w="9520" w:type="dxa"/>
            <w:vAlign w:val="center"/>
          </w:tcPr>
          <w:p w14:paraId="5535408C" w14:textId="199A78F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Źródła finansowania podmiotów leczniczych – wewnętrzne, zewnętrzne, prywatne i publiczne, w tym środki pomocowe Unii Europejskiej. </w:t>
            </w:r>
          </w:p>
        </w:tc>
      </w:tr>
      <w:tr w:rsidR="00D22B96" w:rsidRPr="00D22DB5" w14:paraId="2697E0B3" w14:textId="77777777" w:rsidTr="00D22B96">
        <w:tc>
          <w:tcPr>
            <w:tcW w:w="9520" w:type="dxa"/>
            <w:vAlign w:val="center"/>
          </w:tcPr>
          <w:p w14:paraId="739141D8" w14:textId="561F3521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Sprawozdawczość finansowa, finansowe i pozafinansowe mierniki działalności podmiotów leczniczych. </w:t>
            </w:r>
          </w:p>
        </w:tc>
      </w:tr>
      <w:tr w:rsidR="00D22B96" w:rsidRPr="00D22DB5" w14:paraId="66491A27" w14:textId="77777777" w:rsidTr="00D22B96">
        <w:tc>
          <w:tcPr>
            <w:tcW w:w="9520" w:type="dxa"/>
            <w:vAlign w:val="center"/>
          </w:tcPr>
          <w:p w14:paraId="2B93F5CA" w14:textId="064622EF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Ocena kondycji finansowej podmiotów leczniczych. </w:t>
            </w:r>
          </w:p>
        </w:tc>
      </w:tr>
      <w:tr w:rsidR="00D22B96" w:rsidRPr="00D22DB5" w14:paraId="65292D8D" w14:textId="77777777" w:rsidTr="00D22B96">
        <w:tc>
          <w:tcPr>
            <w:tcW w:w="9520" w:type="dxa"/>
          </w:tcPr>
          <w:p w14:paraId="59AD3723" w14:textId="4BB6EC8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Kontrola i audyt wewnętrzny w podmiotach leczniczych.  </w:t>
            </w:r>
          </w:p>
        </w:tc>
      </w:tr>
      <w:tr w:rsidR="00D22B96" w:rsidRPr="00D22DB5" w14:paraId="25BC43BC" w14:textId="77777777" w:rsidTr="00D22B96">
        <w:tc>
          <w:tcPr>
            <w:tcW w:w="9520" w:type="dxa"/>
            <w:vAlign w:val="center"/>
          </w:tcPr>
          <w:p w14:paraId="6CE8456C" w14:textId="439D291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Sytuacja finansowa w sektorze ochrony zdrowia, analiza przyczyn, poziomu i struktury zadłużenia podmiotów leczniczych.</w:t>
            </w:r>
          </w:p>
        </w:tc>
      </w:tr>
      <w:tr w:rsidR="00D22B96" w:rsidRPr="00D22DB5" w14:paraId="00E6309B" w14:textId="77777777" w:rsidTr="00D22B96">
        <w:tc>
          <w:tcPr>
            <w:tcW w:w="9520" w:type="dxa"/>
            <w:vAlign w:val="center"/>
          </w:tcPr>
          <w:p w14:paraId="29E2E7DF" w14:textId="7F3D878E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Rachunek kosztów w aspekcie wyceny świadczeń zdrowotnych.  </w:t>
            </w:r>
          </w:p>
        </w:tc>
      </w:tr>
      <w:tr w:rsidR="00D22B96" w:rsidRPr="00D22DB5" w14:paraId="79B7A862" w14:textId="77777777" w:rsidTr="00D22B96">
        <w:tc>
          <w:tcPr>
            <w:tcW w:w="9520" w:type="dxa"/>
          </w:tcPr>
          <w:p w14:paraId="404A33F2" w14:textId="768641A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Systemy finansowania opieki zdrowotnej – porównania międzynarodowe.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B0FC52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>Wykład: wykład z prezentacją multimedialną</w:t>
      </w:r>
    </w:p>
    <w:p w14:paraId="50CCC85B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analiza tekstów z dyskusją, metoda projektów, praca w grupach 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22DB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2B96" w:rsidRPr="00D22DB5" w14:paraId="17567712" w14:textId="77777777" w:rsidTr="00D22B96">
        <w:tc>
          <w:tcPr>
            <w:tcW w:w="1962" w:type="dxa"/>
          </w:tcPr>
          <w:p w14:paraId="74F1B794" w14:textId="1441D9D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781C8C6B" w14:textId="3D4FC28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7A43D52F" w14:textId="37E7C88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22B96" w:rsidRPr="00D22DB5" w14:paraId="4DA12ABD" w14:textId="77777777" w:rsidTr="00D22B96">
        <w:tc>
          <w:tcPr>
            <w:tcW w:w="1962" w:type="dxa"/>
          </w:tcPr>
          <w:p w14:paraId="06FADE4E" w14:textId="5204E86A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12F17D2" w14:textId="215510A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66B1CA0C" w14:textId="576C06CB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22B96" w:rsidRPr="00D22DB5" w14:paraId="5967FC24" w14:textId="77777777" w:rsidTr="00D22B96">
        <w:tc>
          <w:tcPr>
            <w:tcW w:w="1962" w:type="dxa"/>
          </w:tcPr>
          <w:p w14:paraId="229C5A72" w14:textId="664D81D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3467C16" w14:textId="467A3A98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22134C6F" w14:textId="5A26A2DF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D22B96" w:rsidRPr="00D22DB5" w14:paraId="059E7ABF" w14:textId="77777777" w:rsidTr="00D22B96">
        <w:tc>
          <w:tcPr>
            <w:tcW w:w="1962" w:type="dxa"/>
            <w:vAlign w:val="center"/>
          </w:tcPr>
          <w:p w14:paraId="6B229EEA" w14:textId="1743340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A376BBF" w14:textId="0830DE4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2D583A" w14:textId="55CBC71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D11201" w14:textId="77777777" w:rsidR="00D22B96" w:rsidRPr="00D22DB5" w:rsidRDefault="00D22B96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smallCaps/>
          <w:szCs w:val="24"/>
        </w:rPr>
        <w:br w:type="page"/>
      </w: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325FFF95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przygotowanie i prezentacja projektu</w:t>
            </w:r>
          </w:p>
          <w:p w14:paraId="137FC208" w14:textId="76FC3D22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e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B889F" w14:textId="77777777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5B4B8106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49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ED03F" w14:textId="217C84A4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B4A4559" w14:textId="361982AF" w:rsidR="00D22B96" w:rsidRPr="00D22DB5" w:rsidRDefault="00A45A1D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36D99A11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22DB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22DB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12584ABA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  <w:r w:rsidR="00A45A1D" w:rsidRPr="00D22DB5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19C9A86B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2A0BED" w14:textId="684ECED6" w:rsidR="00D22B96" w:rsidRPr="00D22DB5" w:rsidRDefault="00D22B96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D22DB5" w14:paraId="657CE00D" w14:textId="77777777" w:rsidTr="1BFC1009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04A22469" w:rsidRPr="00310488" w14:paraId="0BD2F682" w14:textId="77777777" w:rsidTr="1BFC1009">
              <w:tc>
                <w:tcPr>
                  <w:tcW w:w="9405" w:type="dxa"/>
                </w:tcPr>
                <w:p w14:paraId="1C89BD91" w14:textId="33D06432" w:rsidR="04A22469" w:rsidRPr="00310488" w:rsidRDefault="04A22469" w:rsidP="087C1285">
                  <w:pPr>
                    <w:spacing w:after="0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bookmarkStart w:id="1" w:name="_Hlk54253891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4231BF6E" w14:textId="2CB6AB2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Sygit</w:t>
                  </w:r>
                  <w:proofErr w:type="spellEnd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B., Wąsik D., Prawo ochrony zdrowia, </w:t>
                  </w:r>
                  <w:proofErr w:type="spellStart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Difin</w:t>
                  </w:r>
                  <w:proofErr w:type="spellEnd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, Warszawa 2016.</w:t>
                  </w:r>
                </w:p>
                <w:p w14:paraId="36089731" w14:textId="25257B9C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proofErr w:type="spellStart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Lenio</w:t>
                  </w:r>
                  <w:proofErr w:type="spellEnd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 P., Publicznoprawne źródła finansowania ochrony zdrowia, Wolters Kluwer, Warszawa 2018. </w:t>
                  </w:r>
                </w:p>
                <w:p w14:paraId="4A1659C5" w14:textId="2F9813E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Golinowska S., Od ekonomii do ekonomiki zdrowia, PWN, Warszawa 2015.</w:t>
                  </w:r>
                </w:p>
              </w:tc>
            </w:tr>
            <w:bookmarkEnd w:id="1"/>
          </w:tbl>
          <w:p w14:paraId="57515028" w14:textId="731E92DB" w:rsidR="00D22B96" w:rsidRPr="00310488" w:rsidRDefault="00D22B96" w:rsidP="1BFC1009">
            <w:pPr>
              <w:pStyle w:val="Akapitzlist"/>
              <w:spacing w:after="0"/>
              <w:ind w:left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  <w:tr w:rsidR="0085747A" w:rsidRPr="00D22DB5" w14:paraId="25CE389A" w14:textId="77777777" w:rsidTr="1BFC1009">
        <w:trPr>
          <w:trHeight w:val="397"/>
        </w:trPr>
        <w:tc>
          <w:tcPr>
            <w:tcW w:w="5000" w:type="pct"/>
          </w:tcPr>
          <w:p w14:paraId="53C4D076" w14:textId="5C7E3856" w:rsidR="00D22B96" w:rsidRPr="00310488" w:rsidRDefault="4D0AC19D" w:rsidP="087C1285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bookmarkStart w:id="2" w:name="_Hlk54253908"/>
            <w:bookmarkStart w:id="3" w:name="_Hlk54253940"/>
            <w:bookmarkEnd w:id="2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Literatura uzupełniająca: </w:t>
            </w:r>
            <w:bookmarkEnd w:id="3"/>
          </w:p>
          <w:p w14:paraId="5A61B8A5" w14:textId="1D93CE8A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Rabiej E., Transformacja systemu ochrony zdrowia w Polsce – w drodze do zrównoważonego rozwoju, Studia Biura Analiz Sejmowych, Nr 4(52)/2017.</w:t>
            </w:r>
          </w:p>
          <w:p w14:paraId="423A9F07" w14:textId="7EA8F2B4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Suchecka J. (red.), Finansowanie ochrony zdrowia. Wybrane zagadnienia, ABC Wolters </w:t>
            </w: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Kluwer business, Warszawa 2015.</w:t>
            </w:r>
          </w:p>
          <w:p w14:paraId="02AC448B" w14:textId="5FB693A7" w:rsidR="00D22B96" w:rsidRPr="00310488" w:rsidRDefault="4D0AC19D" w:rsidP="1BFC100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Dziubińska M., Janus A., </w:t>
            </w:r>
            <w:proofErr w:type="spellStart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Kostrubiec</w:t>
            </w:r>
            <w:proofErr w:type="spellEnd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J., Sroka T., Szczęśniak P. (red.), Finansowanie świadczeń opieki zdrowotnej, </w:t>
            </w:r>
            <w:proofErr w:type="spellStart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CeDeWu</w:t>
            </w:r>
            <w:proofErr w:type="spellEnd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Warszawa 2014.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77777777" w:rsidR="0085747A" w:rsidRPr="00D22D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2D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65366A" w14:textId="77777777" w:rsidR="00DA110D" w:rsidRDefault="00DA110D" w:rsidP="00C16ABF">
      <w:pPr>
        <w:spacing w:after="0" w:line="240" w:lineRule="auto"/>
      </w:pPr>
      <w:r>
        <w:separator/>
      </w:r>
    </w:p>
  </w:endnote>
  <w:endnote w:type="continuationSeparator" w:id="0">
    <w:p w14:paraId="5C7F4F32" w14:textId="77777777" w:rsidR="00DA110D" w:rsidRDefault="00DA110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B798DA" w14:textId="77777777" w:rsidR="00DA110D" w:rsidRDefault="00DA110D" w:rsidP="00C16ABF">
      <w:pPr>
        <w:spacing w:after="0" w:line="240" w:lineRule="auto"/>
      </w:pPr>
      <w:r>
        <w:separator/>
      </w:r>
    </w:p>
  </w:footnote>
  <w:footnote w:type="continuationSeparator" w:id="0">
    <w:p w14:paraId="33ADE8B1" w14:textId="77777777" w:rsidR="00DA110D" w:rsidRDefault="00DA110D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E605B8"/>
    <w:multiLevelType w:val="hybridMultilevel"/>
    <w:tmpl w:val="242E556C"/>
    <w:lvl w:ilvl="0" w:tplc="85E06A26">
      <w:start w:val="1"/>
      <w:numFmt w:val="decimal"/>
      <w:lvlText w:val="%1."/>
      <w:lvlJc w:val="left"/>
      <w:pPr>
        <w:ind w:left="360" w:hanging="360"/>
      </w:pPr>
    </w:lvl>
    <w:lvl w:ilvl="1" w:tplc="9A4862FE">
      <w:start w:val="1"/>
      <w:numFmt w:val="lowerLetter"/>
      <w:lvlText w:val="%2."/>
      <w:lvlJc w:val="left"/>
      <w:pPr>
        <w:ind w:left="1080" w:hanging="360"/>
      </w:pPr>
    </w:lvl>
    <w:lvl w:ilvl="2" w:tplc="20BACCE6">
      <w:start w:val="1"/>
      <w:numFmt w:val="lowerRoman"/>
      <w:lvlText w:val="%3."/>
      <w:lvlJc w:val="right"/>
      <w:pPr>
        <w:ind w:left="1800" w:hanging="180"/>
      </w:pPr>
    </w:lvl>
    <w:lvl w:ilvl="3" w:tplc="11EAA262">
      <w:start w:val="1"/>
      <w:numFmt w:val="decimal"/>
      <w:lvlText w:val="%4."/>
      <w:lvlJc w:val="left"/>
      <w:pPr>
        <w:ind w:left="2520" w:hanging="360"/>
      </w:pPr>
    </w:lvl>
    <w:lvl w:ilvl="4" w:tplc="302EC54A">
      <w:start w:val="1"/>
      <w:numFmt w:val="lowerLetter"/>
      <w:lvlText w:val="%5."/>
      <w:lvlJc w:val="left"/>
      <w:pPr>
        <w:ind w:left="3240" w:hanging="360"/>
      </w:pPr>
    </w:lvl>
    <w:lvl w:ilvl="5" w:tplc="526C4F72">
      <w:start w:val="1"/>
      <w:numFmt w:val="lowerRoman"/>
      <w:lvlText w:val="%6."/>
      <w:lvlJc w:val="right"/>
      <w:pPr>
        <w:ind w:left="3960" w:hanging="180"/>
      </w:pPr>
    </w:lvl>
    <w:lvl w:ilvl="6" w:tplc="3A74DDEC">
      <w:start w:val="1"/>
      <w:numFmt w:val="decimal"/>
      <w:lvlText w:val="%7."/>
      <w:lvlJc w:val="left"/>
      <w:pPr>
        <w:ind w:left="4680" w:hanging="360"/>
      </w:pPr>
    </w:lvl>
    <w:lvl w:ilvl="7" w:tplc="4F141528">
      <w:start w:val="1"/>
      <w:numFmt w:val="lowerLetter"/>
      <w:lvlText w:val="%8."/>
      <w:lvlJc w:val="left"/>
      <w:pPr>
        <w:ind w:left="5400" w:hanging="360"/>
      </w:pPr>
    </w:lvl>
    <w:lvl w:ilvl="8" w:tplc="227405B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A96A99"/>
    <w:multiLevelType w:val="hybridMultilevel"/>
    <w:tmpl w:val="6578395C"/>
    <w:lvl w:ilvl="0" w:tplc="088E82F2">
      <w:start w:val="1"/>
      <w:numFmt w:val="decimal"/>
      <w:lvlText w:val="%1."/>
      <w:lvlJc w:val="left"/>
      <w:pPr>
        <w:ind w:left="360" w:hanging="360"/>
      </w:pPr>
    </w:lvl>
    <w:lvl w:ilvl="1" w:tplc="1F58BA04">
      <w:start w:val="1"/>
      <w:numFmt w:val="lowerLetter"/>
      <w:lvlText w:val="%2."/>
      <w:lvlJc w:val="left"/>
      <w:pPr>
        <w:ind w:left="1080" w:hanging="360"/>
      </w:pPr>
    </w:lvl>
    <w:lvl w:ilvl="2" w:tplc="D53CDDE8">
      <w:start w:val="1"/>
      <w:numFmt w:val="lowerRoman"/>
      <w:lvlText w:val="%3."/>
      <w:lvlJc w:val="right"/>
      <w:pPr>
        <w:ind w:left="1800" w:hanging="180"/>
      </w:pPr>
    </w:lvl>
    <w:lvl w:ilvl="3" w:tplc="89062D9C">
      <w:start w:val="1"/>
      <w:numFmt w:val="decimal"/>
      <w:lvlText w:val="%4."/>
      <w:lvlJc w:val="left"/>
      <w:pPr>
        <w:ind w:left="2520" w:hanging="360"/>
      </w:pPr>
    </w:lvl>
    <w:lvl w:ilvl="4" w:tplc="32CE95AC">
      <w:start w:val="1"/>
      <w:numFmt w:val="lowerLetter"/>
      <w:lvlText w:val="%5."/>
      <w:lvlJc w:val="left"/>
      <w:pPr>
        <w:ind w:left="3240" w:hanging="360"/>
      </w:pPr>
    </w:lvl>
    <w:lvl w:ilvl="5" w:tplc="7D3CF9CE">
      <w:start w:val="1"/>
      <w:numFmt w:val="lowerRoman"/>
      <w:lvlText w:val="%6."/>
      <w:lvlJc w:val="right"/>
      <w:pPr>
        <w:ind w:left="3960" w:hanging="180"/>
      </w:pPr>
    </w:lvl>
    <w:lvl w:ilvl="6" w:tplc="FFDA17E4">
      <w:start w:val="1"/>
      <w:numFmt w:val="decimal"/>
      <w:lvlText w:val="%7."/>
      <w:lvlJc w:val="left"/>
      <w:pPr>
        <w:ind w:left="4680" w:hanging="360"/>
      </w:pPr>
    </w:lvl>
    <w:lvl w:ilvl="7" w:tplc="066A67E8">
      <w:start w:val="1"/>
      <w:numFmt w:val="lowerLetter"/>
      <w:lvlText w:val="%8."/>
      <w:lvlJc w:val="left"/>
      <w:pPr>
        <w:ind w:left="5400" w:hanging="360"/>
      </w:pPr>
    </w:lvl>
    <w:lvl w:ilvl="8" w:tplc="9CF4D62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943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87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52"/>
    <w:rsid w:val="002A671D"/>
    <w:rsid w:val="002B4D55"/>
    <w:rsid w:val="002B5EA0"/>
    <w:rsid w:val="002B6119"/>
    <w:rsid w:val="002C1F06"/>
    <w:rsid w:val="002C7CD8"/>
    <w:rsid w:val="002D3375"/>
    <w:rsid w:val="002D73D4"/>
    <w:rsid w:val="002F02A3"/>
    <w:rsid w:val="002F4ABE"/>
    <w:rsid w:val="003018BA"/>
    <w:rsid w:val="0030395F"/>
    <w:rsid w:val="00305C92"/>
    <w:rsid w:val="00310488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220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9B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620D9"/>
    <w:rsid w:val="00671958"/>
    <w:rsid w:val="00675843"/>
    <w:rsid w:val="006955F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8168C"/>
    <w:rsid w:val="00787C2A"/>
    <w:rsid w:val="00790E27"/>
    <w:rsid w:val="007A4022"/>
    <w:rsid w:val="007A6E6E"/>
    <w:rsid w:val="007B73A4"/>
    <w:rsid w:val="007C3299"/>
    <w:rsid w:val="007C3BCC"/>
    <w:rsid w:val="007C4546"/>
    <w:rsid w:val="007C4A59"/>
    <w:rsid w:val="007D6E56"/>
    <w:rsid w:val="007F4155"/>
    <w:rsid w:val="0081554D"/>
    <w:rsid w:val="0081707E"/>
    <w:rsid w:val="008449B3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C4A03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0D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22469"/>
    <w:rsid w:val="07F08FA8"/>
    <w:rsid w:val="087C1285"/>
    <w:rsid w:val="1BFC1009"/>
    <w:rsid w:val="2D8F087C"/>
    <w:rsid w:val="309090AE"/>
    <w:rsid w:val="4D0AC19D"/>
    <w:rsid w:val="7FC88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C4A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4A59"/>
  </w:style>
  <w:style w:type="character" w:customStyle="1" w:styleId="spellingerror">
    <w:name w:val="spellingerror"/>
    <w:basedOn w:val="Domylnaczcionkaakapitu"/>
    <w:rsid w:val="007C4A59"/>
  </w:style>
  <w:style w:type="character" w:customStyle="1" w:styleId="eop">
    <w:name w:val="eop"/>
    <w:basedOn w:val="Domylnaczcionkaakapitu"/>
    <w:rsid w:val="007C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2A5D3-B2EC-405A-B703-58D8A6A2BC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E7D56A-83BA-48F1-8368-F608B1F8D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E8390-C6F1-4C5A-BE82-EBE6237DA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980</Words>
  <Characters>5884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2020-10-22T08:05:00Z</cp:lastPrinted>
  <dcterms:created xsi:type="dcterms:W3CDTF">2020-10-23T07:00:00Z</dcterms:created>
  <dcterms:modified xsi:type="dcterms:W3CDTF">2020-12-07T18:30:00Z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