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A39FD5" w14:textId="77777777" w:rsidR="000E7716" w:rsidRDefault="000E7716" w:rsidP="000E7716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5B5ACF7C" w14:textId="70BC5959" w:rsidR="00B611A5" w:rsidRPr="009C54AE" w:rsidRDefault="00B611A5" w:rsidP="005009B4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5D6BA2A" w14:textId="77777777" w:rsidR="00B611A5" w:rsidRPr="005320A0" w:rsidRDefault="00B611A5" w:rsidP="005009B4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0E68A5">
        <w:rPr>
          <w:rFonts w:ascii="Corbel" w:hAnsi="Corbel" w:cs="Corbel"/>
          <w:i/>
          <w:iCs/>
          <w:smallCaps/>
          <w:sz w:val="24"/>
          <w:szCs w:val="24"/>
        </w:rPr>
        <w:t>2020-2023</w:t>
      </w:r>
      <w:r w:rsidRPr="005320A0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</w:p>
    <w:p w14:paraId="695943AD" w14:textId="388CC5EE" w:rsidR="00B611A5" w:rsidRPr="00D12BEC" w:rsidRDefault="00B611A5" w:rsidP="00D77C3A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0D12BEC">
        <w:rPr>
          <w:rFonts w:ascii="Corbel" w:hAnsi="Corbel" w:cs="Corbel"/>
          <w:sz w:val="20"/>
          <w:szCs w:val="20"/>
        </w:rPr>
        <w:t>Rok akademicki   202</w:t>
      </w:r>
      <w:r w:rsidR="000E7716" w:rsidRPr="00D12BEC">
        <w:rPr>
          <w:rFonts w:ascii="Corbel" w:hAnsi="Corbel" w:cs="Corbel"/>
          <w:sz w:val="20"/>
          <w:szCs w:val="20"/>
        </w:rPr>
        <w:t>1</w:t>
      </w:r>
      <w:r w:rsidRPr="00D12BEC">
        <w:rPr>
          <w:rFonts w:ascii="Corbel" w:hAnsi="Corbel" w:cs="Corbel"/>
          <w:sz w:val="20"/>
          <w:szCs w:val="20"/>
        </w:rPr>
        <w:t>-202</w:t>
      </w:r>
      <w:r w:rsidR="000E7716" w:rsidRPr="00D12BEC">
        <w:rPr>
          <w:rFonts w:ascii="Corbel" w:hAnsi="Corbel" w:cs="Corbel"/>
          <w:sz w:val="20"/>
          <w:szCs w:val="20"/>
        </w:rPr>
        <w:t>2</w:t>
      </w:r>
    </w:p>
    <w:p w14:paraId="20863EBB" w14:textId="77777777" w:rsidR="00B611A5" w:rsidRPr="009C54AE" w:rsidRDefault="00B611A5" w:rsidP="005009B4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9216193" w14:textId="77777777" w:rsidR="00B611A5" w:rsidRPr="009C78D6" w:rsidRDefault="00B611A5" w:rsidP="005009B4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611A5" w:rsidRPr="009C54AE" w14:paraId="1CD75D31" w14:textId="77777777" w:rsidTr="000E7716">
        <w:tc>
          <w:tcPr>
            <w:tcW w:w="2694" w:type="dxa"/>
            <w:vAlign w:val="center"/>
          </w:tcPr>
          <w:p w14:paraId="70A935D7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837976" w14:textId="77777777" w:rsidR="00B611A5" w:rsidRPr="000E7716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771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jednostek sektora publicznego</w:t>
            </w:r>
          </w:p>
        </w:tc>
      </w:tr>
      <w:tr w:rsidR="00B611A5" w:rsidRPr="009C54AE" w14:paraId="41672023" w14:textId="77777777" w:rsidTr="000E7716">
        <w:tc>
          <w:tcPr>
            <w:tcW w:w="2694" w:type="dxa"/>
            <w:vAlign w:val="center"/>
          </w:tcPr>
          <w:p w14:paraId="0D1ED28E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805C70" w14:textId="77777777" w:rsidR="00B611A5" w:rsidRPr="000E7716" w:rsidRDefault="00B611A5" w:rsidP="0045506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 w:rsidRPr="000E7716">
              <w:rPr>
                <w:rFonts w:ascii="Corbel" w:hAnsi="Corbel" w:cs="Corbel"/>
                <w:sz w:val="24"/>
                <w:szCs w:val="24"/>
              </w:rPr>
              <w:t>E/I/</w:t>
            </w:r>
            <w:proofErr w:type="spellStart"/>
            <w:r w:rsidRPr="000E7716">
              <w:rPr>
                <w:rFonts w:ascii="Corbel" w:hAnsi="Corbel" w:cs="Corbel"/>
                <w:sz w:val="24"/>
                <w:szCs w:val="24"/>
              </w:rPr>
              <w:t>EiZSP</w:t>
            </w:r>
            <w:proofErr w:type="spellEnd"/>
            <w:r w:rsidRPr="000E7716">
              <w:rPr>
                <w:rFonts w:ascii="Corbel" w:hAnsi="Corbel" w:cs="Corbel"/>
                <w:sz w:val="24"/>
                <w:szCs w:val="24"/>
              </w:rPr>
              <w:t>/C.3</w:t>
            </w:r>
          </w:p>
        </w:tc>
      </w:tr>
      <w:tr w:rsidR="00B611A5" w:rsidRPr="009C54AE" w14:paraId="51696FAB" w14:textId="77777777" w:rsidTr="000E7716">
        <w:tc>
          <w:tcPr>
            <w:tcW w:w="2694" w:type="dxa"/>
            <w:vAlign w:val="center"/>
          </w:tcPr>
          <w:p w14:paraId="2C48A47A" w14:textId="77777777" w:rsidR="00B611A5" w:rsidRPr="00A40AEA" w:rsidRDefault="00B611A5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DA93EA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611A5" w:rsidRPr="009C54AE" w14:paraId="65F3776E" w14:textId="77777777" w:rsidTr="000E7716">
        <w:tc>
          <w:tcPr>
            <w:tcW w:w="2694" w:type="dxa"/>
            <w:vAlign w:val="center"/>
          </w:tcPr>
          <w:p w14:paraId="54EDD01B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5859C" w14:textId="7F46C4C2" w:rsidR="00B611A5" w:rsidRPr="00A40AEA" w:rsidRDefault="006F6A9F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11A5" w:rsidRPr="009C54AE" w14:paraId="460256D1" w14:textId="77777777" w:rsidTr="000E7716">
        <w:tc>
          <w:tcPr>
            <w:tcW w:w="2694" w:type="dxa"/>
            <w:vAlign w:val="center"/>
          </w:tcPr>
          <w:p w14:paraId="483994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2F308" w14:textId="77777777" w:rsidR="00B611A5" w:rsidRPr="00A40AEA" w:rsidRDefault="00B611A5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611A5" w:rsidRPr="009C54AE" w14:paraId="074BEEA6" w14:textId="77777777" w:rsidTr="000E7716">
        <w:tc>
          <w:tcPr>
            <w:tcW w:w="2694" w:type="dxa"/>
            <w:vAlign w:val="center"/>
          </w:tcPr>
          <w:p w14:paraId="62C972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4465B" w14:textId="6959BF72" w:rsidR="00B611A5" w:rsidRPr="00A40AEA" w:rsidRDefault="006F6A9F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Pierwszego stopnia</w:t>
            </w:r>
          </w:p>
        </w:tc>
      </w:tr>
      <w:tr w:rsidR="00B611A5" w:rsidRPr="009C54AE" w14:paraId="52A62C3B" w14:textId="77777777" w:rsidTr="000E7716">
        <w:tc>
          <w:tcPr>
            <w:tcW w:w="2694" w:type="dxa"/>
            <w:vAlign w:val="center"/>
          </w:tcPr>
          <w:p w14:paraId="070F04C4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3677FE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611A5" w:rsidRPr="009C54AE" w14:paraId="6CA3606D" w14:textId="77777777" w:rsidTr="000E7716">
        <w:tc>
          <w:tcPr>
            <w:tcW w:w="2694" w:type="dxa"/>
            <w:vAlign w:val="center"/>
          </w:tcPr>
          <w:p w14:paraId="4BFBAE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726542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B611A5" w:rsidRPr="009C54AE" w14:paraId="4CFE467E" w14:textId="77777777" w:rsidTr="000E7716">
        <w:tc>
          <w:tcPr>
            <w:tcW w:w="2694" w:type="dxa"/>
            <w:vAlign w:val="center"/>
          </w:tcPr>
          <w:p w14:paraId="52B7326D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16711D" w14:textId="785057A1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4</w:t>
            </w:r>
          </w:p>
        </w:tc>
      </w:tr>
      <w:tr w:rsidR="00B611A5" w:rsidRPr="009C54AE" w14:paraId="6E193BBC" w14:textId="77777777" w:rsidTr="000E7716">
        <w:tc>
          <w:tcPr>
            <w:tcW w:w="2694" w:type="dxa"/>
            <w:vAlign w:val="center"/>
          </w:tcPr>
          <w:p w14:paraId="51E32B43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FF7ADD" w14:textId="2279C4C0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611A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B611A5" w:rsidRPr="009C54AE" w14:paraId="5DBE4709" w14:textId="77777777" w:rsidTr="000E7716">
        <w:tc>
          <w:tcPr>
            <w:tcW w:w="2694" w:type="dxa"/>
            <w:vAlign w:val="center"/>
          </w:tcPr>
          <w:p w14:paraId="59159820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79F525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611A5" w:rsidRPr="00EF5884" w14:paraId="38D6D674" w14:textId="77777777" w:rsidTr="000E7716">
        <w:tc>
          <w:tcPr>
            <w:tcW w:w="2694" w:type="dxa"/>
            <w:vAlign w:val="center"/>
          </w:tcPr>
          <w:p w14:paraId="67B7FF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B8700" w14:textId="77777777" w:rsidR="00B611A5" w:rsidRPr="00A40AEA" w:rsidRDefault="00B611A5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611A5" w:rsidRPr="009C54AE" w14:paraId="0D2084DF" w14:textId="77777777" w:rsidTr="000E7716">
        <w:tc>
          <w:tcPr>
            <w:tcW w:w="2694" w:type="dxa"/>
            <w:vAlign w:val="center"/>
          </w:tcPr>
          <w:p w14:paraId="24EDF69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1A89AD" w14:textId="4E21D118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3961C61" w14:textId="3B4EC2A6" w:rsidR="00B611A5" w:rsidRDefault="000E7716" w:rsidP="000E7716">
      <w:pPr>
        <w:spacing w:after="0" w:line="240" w:lineRule="auto"/>
        <w:jc w:val="both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 xml:space="preserve">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20CB8603" w14:textId="77777777" w:rsidR="00B611A5" w:rsidRPr="009C54AE" w:rsidRDefault="00B611A5" w:rsidP="00C9412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AE0F396" w14:textId="77777777" w:rsidR="00B611A5" w:rsidRPr="00123B7B" w:rsidRDefault="00B611A5" w:rsidP="00C9412C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p w14:paraId="62ED9ACE" w14:textId="77777777" w:rsidR="00B611A5" w:rsidRPr="00123B7B" w:rsidRDefault="00B611A5" w:rsidP="00C9412C">
      <w:pPr>
        <w:pStyle w:val="Podpunkty"/>
        <w:ind w:left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9"/>
        <w:gridCol w:w="915"/>
        <w:gridCol w:w="797"/>
        <w:gridCol w:w="846"/>
        <w:gridCol w:w="806"/>
        <w:gridCol w:w="823"/>
        <w:gridCol w:w="775"/>
        <w:gridCol w:w="952"/>
        <w:gridCol w:w="1199"/>
        <w:gridCol w:w="1642"/>
      </w:tblGrid>
      <w:tr w:rsidR="00B611A5" w:rsidRPr="00123B7B" w14:paraId="1D7326C9" w14:textId="77777777">
        <w:tc>
          <w:tcPr>
            <w:tcW w:w="862" w:type="dxa"/>
          </w:tcPr>
          <w:p w14:paraId="5058BE7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778F5E6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33" w:type="dxa"/>
            <w:vAlign w:val="center"/>
          </w:tcPr>
          <w:p w14:paraId="52247AD7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Wykł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20" w:type="dxa"/>
            <w:vAlign w:val="center"/>
          </w:tcPr>
          <w:p w14:paraId="5C896E9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F643A39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Konw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25" w:type="dxa"/>
            <w:vAlign w:val="center"/>
          </w:tcPr>
          <w:p w14:paraId="631A6C5B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36" w:type="dxa"/>
            <w:vAlign w:val="center"/>
          </w:tcPr>
          <w:p w14:paraId="07BBBC2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805" w:type="dxa"/>
            <w:vAlign w:val="center"/>
          </w:tcPr>
          <w:p w14:paraId="482CBBA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70" w:type="dxa"/>
            <w:vAlign w:val="center"/>
          </w:tcPr>
          <w:p w14:paraId="772850C1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proofErr w:type="spellStart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Prakt</w:t>
            </w:r>
            <w:proofErr w:type="spellEnd"/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31" w:type="dxa"/>
            <w:vAlign w:val="center"/>
          </w:tcPr>
          <w:p w14:paraId="60AF00CF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4BEF96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B611A5" w:rsidRPr="00123B7B" w14:paraId="3DF92587" w14:textId="77777777">
        <w:trPr>
          <w:trHeight w:val="453"/>
        </w:trPr>
        <w:tc>
          <w:tcPr>
            <w:tcW w:w="862" w:type="dxa"/>
          </w:tcPr>
          <w:p w14:paraId="65A3A73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33" w:type="dxa"/>
            <w:vAlign w:val="center"/>
          </w:tcPr>
          <w:p w14:paraId="5253AE2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15</w:t>
            </w:r>
          </w:p>
        </w:tc>
        <w:tc>
          <w:tcPr>
            <w:tcW w:w="820" w:type="dxa"/>
            <w:vAlign w:val="center"/>
          </w:tcPr>
          <w:p w14:paraId="6F4D8DB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30</w:t>
            </w:r>
          </w:p>
        </w:tc>
        <w:tc>
          <w:tcPr>
            <w:tcW w:w="851" w:type="dxa"/>
            <w:vAlign w:val="center"/>
          </w:tcPr>
          <w:p w14:paraId="0D43C855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14:paraId="7C6926B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690013E6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14:paraId="4308467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2F84B40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10FC289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14:paraId="34AF23B2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1A2178EC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1128B726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6C9275A" w14:textId="77777777" w:rsidR="00F63183" w:rsidRDefault="00F63183" w:rsidP="00F6318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 w:cs="Segoe UI"/>
        </w:rPr>
        <w:t>Teams</w:t>
      </w:r>
      <w:proofErr w:type="spellEnd"/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DF79085" w14:textId="77777777" w:rsidR="00F63183" w:rsidRDefault="00F63183" w:rsidP="00F6318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551EFF5E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2137A86B" w14:textId="3480C83B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1.3 Forma zaliczenia przedmiotu (z toku) </w:t>
      </w: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6F44E098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0690B40" w14:textId="7F2C0C76" w:rsidR="00B611A5" w:rsidRPr="00123B7B" w:rsidRDefault="00B611A5" w:rsidP="313AC7F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Egzamin</w:t>
      </w:r>
      <w:r w:rsidR="0BE121EA" w:rsidRPr="313AC7F2">
        <w:rPr>
          <w:rFonts w:ascii="Corbel" w:hAnsi="Corbel" w:cs="Corbel"/>
          <w:b w:val="0"/>
          <w:bCs w:val="0"/>
          <w:smallCaps w:val="0"/>
          <w:sz w:val="22"/>
          <w:szCs w:val="22"/>
        </w:rPr>
        <w:t>, zaliczenie ćwiczeń z oceną</w:t>
      </w:r>
    </w:p>
    <w:p w14:paraId="18E15C9C" w14:textId="77777777" w:rsidR="00B611A5" w:rsidRPr="00123B7B" w:rsidRDefault="00B611A5" w:rsidP="00C9412C">
      <w:pPr>
        <w:pStyle w:val="Punktygwne"/>
        <w:spacing w:before="0" w:after="0"/>
        <w:ind w:left="9765"/>
        <w:rPr>
          <w:rFonts w:ascii="Corbel" w:hAnsi="Corbel" w:cs="Corbel"/>
          <w:smallCaps w:val="0"/>
          <w:sz w:val="22"/>
          <w:szCs w:val="22"/>
        </w:rPr>
      </w:pPr>
    </w:p>
    <w:p w14:paraId="18AA95A8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2.Wymagania wstępne </w:t>
      </w:r>
    </w:p>
    <w:p w14:paraId="633BFE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1F7F568A" w14:textId="77777777">
        <w:trPr>
          <w:trHeight w:val="1082"/>
        </w:trPr>
        <w:tc>
          <w:tcPr>
            <w:tcW w:w="9670" w:type="dxa"/>
          </w:tcPr>
          <w:p w14:paraId="0F99EF55" w14:textId="77777777" w:rsidR="00B611A5" w:rsidRPr="00123B7B" w:rsidRDefault="00B611A5" w:rsidP="00C9412C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Pozytywne zaliczenie z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>Mikro - Makroekonomii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wskazujące na posiadanie podstawowej wiedzy ekonomicznej (problemy, kategorie, prawa). Pozytywne zaliczenie przedmiotu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Finanse publiczne i rynki finansowe 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oraz umiejętności interpretacji zjawisk ekonomicznych.</w:t>
            </w:r>
          </w:p>
        </w:tc>
      </w:tr>
    </w:tbl>
    <w:p w14:paraId="7327AA9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3C98255" w14:textId="1896D733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3. cele, efekty </w:t>
      </w:r>
      <w:r w:rsidR="00934F85">
        <w:rPr>
          <w:rFonts w:ascii="Corbel" w:hAnsi="Corbel" w:cs="Corbel"/>
          <w:sz w:val="22"/>
          <w:szCs w:val="22"/>
        </w:rPr>
        <w:t>uczenia się</w:t>
      </w:r>
      <w:r w:rsidRPr="00123B7B">
        <w:rPr>
          <w:rFonts w:ascii="Corbel" w:hAnsi="Corbel" w:cs="Corbel"/>
          <w:sz w:val="22"/>
          <w:szCs w:val="22"/>
        </w:rPr>
        <w:t xml:space="preserve"> , treści Programowe i stosowane metody Dydaktyczne</w:t>
      </w:r>
    </w:p>
    <w:p w14:paraId="7499D8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4D0E2753" w14:textId="0299BB28" w:rsidR="00B611A5" w:rsidRPr="00123B7B" w:rsidRDefault="00B611A5" w:rsidP="00C9412C">
      <w:pPr>
        <w:pStyle w:val="Podpunkty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>3.1 Cele przedmiotu</w:t>
      </w:r>
    </w:p>
    <w:p w14:paraId="33077631" w14:textId="77777777" w:rsidR="00B611A5" w:rsidRPr="00123B7B" w:rsidRDefault="00B611A5" w:rsidP="00C9412C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611A5" w:rsidRPr="00123B7B" w14:paraId="32D7F7CE" w14:textId="77777777">
        <w:tc>
          <w:tcPr>
            <w:tcW w:w="851" w:type="dxa"/>
            <w:vAlign w:val="center"/>
          </w:tcPr>
          <w:p w14:paraId="404E03E0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C1</w:t>
            </w:r>
          </w:p>
        </w:tc>
        <w:tc>
          <w:tcPr>
            <w:tcW w:w="8819" w:type="dxa"/>
          </w:tcPr>
          <w:p w14:paraId="0BF78C8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Pogłębienie wiedzy studenta na temat podstawowych kategoriami i zasadami finansów sektora publicznego. Zapoznanie z procesami finansowymi zachodzącymi w sektorze publicznym oraz zasadami gospodarki finansowej podmiotów sektora publicznego.</w:t>
            </w:r>
          </w:p>
        </w:tc>
      </w:tr>
      <w:tr w:rsidR="00B611A5" w:rsidRPr="00123B7B" w14:paraId="17DDD786" w14:textId="77777777">
        <w:tc>
          <w:tcPr>
            <w:tcW w:w="851" w:type="dxa"/>
            <w:vAlign w:val="center"/>
          </w:tcPr>
          <w:p w14:paraId="224A79F9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C2</w:t>
            </w:r>
          </w:p>
        </w:tc>
        <w:tc>
          <w:tcPr>
            <w:tcW w:w="8819" w:type="dxa"/>
          </w:tcPr>
          <w:p w14:paraId="1E35FAA9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zasad, norm i metod organizacji budżetu na szczeblu centralnym i samorządowym w różnych formach organizacyjno-prawnych sektora publicznego.</w:t>
            </w:r>
          </w:p>
        </w:tc>
      </w:tr>
      <w:tr w:rsidR="00B611A5" w:rsidRPr="00123B7B" w14:paraId="17600C4F" w14:textId="77777777">
        <w:tc>
          <w:tcPr>
            <w:tcW w:w="851" w:type="dxa"/>
            <w:vAlign w:val="center"/>
          </w:tcPr>
          <w:p w14:paraId="34A1F703" w14:textId="77777777" w:rsidR="00B611A5" w:rsidRPr="00123B7B" w:rsidRDefault="00B611A5" w:rsidP="00857315">
            <w:pPr>
              <w:pStyle w:val="Cele"/>
              <w:spacing w:before="60" w:after="6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819" w:type="dxa"/>
          </w:tcPr>
          <w:p w14:paraId="448E04E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5AC4F1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5062CB23" w14:textId="5D967AC4" w:rsidR="00B611A5" w:rsidRPr="00123B7B" w:rsidRDefault="00B611A5" w:rsidP="00C9412C">
      <w:pPr>
        <w:spacing w:after="0" w:line="240" w:lineRule="auto"/>
        <w:ind w:left="426"/>
        <w:rPr>
          <w:rFonts w:ascii="Corbel" w:hAnsi="Corbel" w:cs="Corbel"/>
        </w:rPr>
      </w:pPr>
      <w:r w:rsidRPr="00123B7B">
        <w:rPr>
          <w:rFonts w:ascii="Corbel" w:hAnsi="Corbel" w:cs="Corbel"/>
          <w:b/>
          <w:bCs/>
        </w:rPr>
        <w:t xml:space="preserve">3.2 Efekty </w:t>
      </w:r>
      <w:r w:rsidR="000E7716">
        <w:rPr>
          <w:rFonts w:ascii="Corbel" w:hAnsi="Corbel" w:cs="Corbel"/>
          <w:b/>
          <w:bCs/>
        </w:rPr>
        <w:t>uczenia się</w:t>
      </w:r>
      <w:r w:rsidRPr="00123B7B">
        <w:rPr>
          <w:rFonts w:ascii="Corbel" w:hAnsi="Corbel" w:cs="Corbel"/>
          <w:b/>
          <w:bCs/>
        </w:rPr>
        <w:t xml:space="preserve"> dla przedmiotu</w:t>
      </w:r>
    </w:p>
    <w:p w14:paraId="7917E33D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2"/>
        <w:gridCol w:w="5972"/>
        <w:gridCol w:w="2190"/>
      </w:tblGrid>
      <w:tr w:rsidR="00B611A5" w:rsidRPr="00123B7B" w14:paraId="03D57CFA" w14:textId="77777777">
        <w:trPr>
          <w:trHeight w:val="1322"/>
        </w:trPr>
        <w:tc>
          <w:tcPr>
            <w:tcW w:w="1692" w:type="dxa"/>
            <w:vAlign w:val="center"/>
          </w:tcPr>
          <w:p w14:paraId="2475A016" w14:textId="4005E39E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2" w:type="dxa"/>
            <w:vAlign w:val="center"/>
          </w:tcPr>
          <w:p w14:paraId="4F8B2875" w14:textId="3069C06A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2190" w:type="dxa"/>
            <w:vAlign w:val="center"/>
          </w:tcPr>
          <w:p w14:paraId="289C00C0" w14:textId="4912273B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Odniesienie do efektów  kierunkowych</w:t>
            </w:r>
          </w:p>
        </w:tc>
      </w:tr>
      <w:tr w:rsidR="00B611A5" w:rsidRPr="00123B7B" w14:paraId="3B5D6681" w14:textId="77777777">
        <w:tc>
          <w:tcPr>
            <w:tcW w:w="1692" w:type="dxa"/>
          </w:tcPr>
          <w:p w14:paraId="3028314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972" w:type="dxa"/>
          </w:tcPr>
          <w:p w14:paraId="10F73BF3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określa zwrotne i bezzwrotne źródła gromadzenia i wydatkowania środków finansowych w jednostkach sektora publicznego. Wskazuje powiązania pomiędzy dochodami i wydatkami sektora publicznego a procesami gospodarczymi i społecznymi. Rozpoznaje i ocenia zjawiska finansowe zachodzące w sektorze publicznym; rozumie zasady gospodarki finansowej podmiotów sektora publicznego</w:t>
            </w:r>
          </w:p>
        </w:tc>
        <w:tc>
          <w:tcPr>
            <w:tcW w:w="2190" w:type="dxa"/>
          </w:tcPr>
          <w:p w14:paraId="77C393DE" w14:textId="037A2A8E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</w:t>
            </w:r>
            <w:r w:rsidR="00D12BEC">
              <w:rPr>
                <w:rFonts w:ascii="Corbel" w:hAnsi="Corbel" w:cs="Corbel"/>
              </w:rPr>
              <w:t>1</w:t>
            </w:r>
          </w:p>
          <w:p w14:paraId="250CAD80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K_W07</w:t>
            </w:r>
          </w:p>
          <w:p w14:paraId="7268D918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127028C1" w14:textId="77777777">
        <w:tc>
          <w:tcPr>
            <w:tcW w:w="1692" w:type="dxa"/>
          </w:tcPr>
          <w:p w14:paraId="0932353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2" w:type="dxa"/>
          </w:tcPr>
          <w:p w14:paraId="663023FE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Zna podstawowe zasady, normy i koncepcje organizacji budżetu na szczeblu centralnym i samorządowym w różnych formach organizacyjno-prawnych sektora publicznego</w:t>
            </w:r>
          </w:p>
        </w:tc>
        <w:tc>
          <w:tcPr>
            <w:tcW w:w="2190" w:type="dxa"/>
          </w:tcPr>
          <w:p w14:paraId="5FE1BD22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K_W08</w:t>
            </w:r>
          </w:p>
          <w:p w14:paraId="7221B6D6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7AD2B71" w14:textId="77777777">
        <w:tc>
          <w:tcPr>
            <w:tcW w:w="1692" w:type="dxa"/>
          </w:tcPr>
          <w:p w14:paraId="73D8351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2" w:type="dxa"/>
          </w:tcPr>
          <w:p w14:paraId="48790640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Pozyskuje i analizuje dane potrzebnych do tworzenia budżetów i innych planów finansowych podmiotów sektora publicznego.</w:t>
            </w:r>
          </w:p>
        </w:tc>
        <w:tc>
          <w:tcPr>
            <w:tcW w:w="2190" w:type="dxa"/>
          </w:tcPr>
          <w:p w14:paraId="65F191E6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K_U01</w:t>
            </w:r>
          </w:p>
          <w:p w14:paraId="7F771DC9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K_U03</w:t>
            </w:r>
          </w:p>
          <w:p w14:paraId="17BEA42E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9C28062" w14:textId="77777777">
        <w:tc>
          <w:tcPr>
            <w:tcW w:w="1692" w:type="dxa"/>
          </w:tcPr>
          <w:p w14:paraId="19684068" w14:textId="77777777" w:rsidR="00B611A5" w:rsidRPr="00123B7B" w:rsidRDefault="00B611A5" w:rsidP="00B82C2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2" w:type="dxa"/>
          </w:tcPr>
          <w:p w14:paraId="4F7B8BA7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Analizuje i ocenia procesy i tendencje ekonomiczne i społeczne oraz i ich konsekwencje dla finansów w sektorze publicznym. Nabywa kompetencje do podejmowania decyzji finansowych w sektorze budżetowym.</w:t>
            </w:r>
          </w:p>
        </w:tc>
        <w:tc>
          <w:tcPr>
            <w:tcW w:w="2190" w:type="dxa"/>
          </w:tcPr>
          <w:p w14:paraId="51A97682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K_U06</w:t>
            </w:r>
          </w:p>
          <w:p w14:paraId="6D344831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  <w:tr w:rsidR="00B611A5" w:rsidRPr="00123B7B" w14:paraId="681A8076" w14:textId="77777777">
        <w:tc>
          <w:tcPr>
            <w:tcW w:w="1692" w:type="dxa"/>
          </w:tcPr>
          <w:p w14:paraId="05C3D764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2" w:type="dxa"/>
          </w:tcPr>
          <w:p w14:paraId="452ADC1D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Posiada świadomość złożoności i współzależności wielu procesów w sferze gospodarki budżetowej i gospodarki realnej. Zachowuje krytycyzm i niezależność myślenia w ocenie analizowanych problemów.</w:t>
            </w:r>
          </w:p>
        </w:tc>
        <w:tc>
          <w:tcPr>
            <w:tcW w:w="2190" w:type="dxa"/>
          </w:tcPr>
          <w:p w14:paraId="184B14A3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K_K01</w:t>
            </w:r>
          </w:p>
          <w:p w14:paraId="13636B5D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</w:tbl>
    <w:p w14:paraId="5BBF19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D335D1A" w14:textId="77777777" w:rsidR="00B611A5" w:rsidRPr="00123B7B" w:rsidRDefault="00B611A5" w:rsidP="005009B4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46879A0B" w14:textId="77777777" w:rsidR="00B611A5" w:rsidRPr="00123B7B" w:rsidRDefault="00B611A5" w:rsidP="005009B4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123B7B">
        <w:rPr>
          <w:rFonts w:ascii="Corbel" w:hAnsi="Corbel" w:cs="Corbel"/>
          <w:b/>
          <w:bCs/>
        </w:rPr>
        <w:t xml:space="preserve">3.3 Treści programowe </w:t>
      </w:r>
    </w:p>
    <w:p w14:paraId="5B2D6B8A" w14:textId="77777777" w:rsidR="00B611A5" w:rsidRPr="00123B7B" w:rsidRDefault="00B611A5" w:rsidP="005009B4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671D2D14" w14:textId="77777777">
        <w:tc>
          <w:tcPr>
            <w:tcW w:w="9639" w:type="dxa"/>
          </w:tcPr>
          <w:p w14:paraId="78837B46" w14:textId="77777777" w:rsidR="00B611A5" w:rsidRPr="00123B7B" w:rsidRDefault="00B611A5" w:rsidP="005009B4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62378D48" w14:textId="77777777">
        <w:tc>
          <w:tcPr>
            <w:tcW w:w="9639" w:type="dxa"/>
          </w:tcPr>
          <w:p w14:paraId="655753D2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Sfera publiczna a sektor publiczny. Elementy składowe (ogniwa, podsektory) sektora finansów publicznych ich wzajemne powiązania. Mechanizm finansowania i wydatki sektora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</w:t>
            </w:r>
            <w:proofErr w:type="spellEnd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 xml:space="preserve">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government</w:t>
            </w:r>
            <w:proofErr w:type="spellEnd"/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>.</w:t>
            </w:r>
          </w:p>
        </w:tc>
      </w:tr>
      <w:tr w:rsidR="00B611A5" w:rsidRPr="00123B7B" w14:paraId="4C6C495F" w14:textId="77777777">
        <w:tc>
          <w:tcPr>
            <w:tcW w:w="9639" w:type="dxa"/>
          </w:tcPr>
          <w:p w14:paraId="0833F5E0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Rola podmiotów sektora publicznego w realizacji funkcji alokacyjnej, redystrybucyjnej, stabilizacyjnej i kontrolnej polityki fiskalnej. Realizacja tych funkcji na poziomie jednostek samorządu terytorialnego.</w:t>
            </w:r>
          </w:p>
        </w:tc>
      </w:tr>
      <w:tr w:rsidR="00B611A5" w:rsidRPr="00123B7B" w14:paraId="64FCC7E6" w14:textId="77777777">
        <w:tc>
          <w:tcPr>
            <w:tcW w:w="9639" w:type="dxa"/>
          </w:tcPr>
          <w:p w14:paraId="7147A7C9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lastRenderedPageBreak/>
              <w:t>Organizacja sektora finansów publicznych w Polsce w kontekście zarządzania finansami publicznymi. Formy organizacyjno-prawne gospodarki budżetowej- jednostki budżetowe, zakłady budżetowe, fundusze celowe.</w:t>
            </w:r>
          </w:p>
        </w:tc>
      </w:tr>
      <w:tr w:rsidR="00B611A5" w:rsidRPr="00123B7B" w14:paraId="649B9604" w14:textId="77777777">
        <w:tc>
          <w:tcPr>
            <w:tcW w:w="9639" w:type="dxa"/>
          </w:tcPr>
          <w:p w14:paraId="508DA263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Gospodarka budżetowa państwa –podstawowe kategorie budżetowe (dochody, wydatki, przychody, rozchody budżetowe). Problem równoważenia budżetu, deficyt budżetowy i dług publiczny. </w:t>
            </w:r>
          </w:p>
        </w:tc>
      </w:tr>
      <w:tr w:rsidR="00B611A5" w:rsidRPr="00123B7B" w14:paraId="363841CC" w14:textId="77777777">
        <w:tc>
          <w:tcPr>
            <w:tcW w:w="9639" w:type="dxa"/>
          </w:tcPr>
          <w:p w14:paraId="3FD7006E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Teoretyczne i praktyczne przyczyny deficytu budżetowego i długu publicznego. Rodzaje deficytów budżetowych. Struktura i dynamika długu publicznego w Polsce i innych krajach UE i świata. Procedury legislacyjne, ostrożnościowe i sanacyjne w procesie zarządzania deficytem i długiem publicznym.</w:t>
            </w:r>
          </w:p>
        </w:tc>
      </w:tr>
      <w:tr w:rsidR="00B611A5" w:rsidRPr="00123B7B" w14:paraId="00EAD307" w14:textId="77777777">
        <w:tc>
          <w:tcPr>
            <w:tcW w:w="9639" w:type="dxa"/>
          </w:tcPr>
          <w:p w14:paraId="2740EDAD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Stabilność sektora finansów publicznych i jego uwarunkowania ekonomiczne i instytucjonalne. Przykład Polski i innych krajów UE i świata. Rozwiązania instytucjonalne i prawe stosowane w Unii Europejskiej.</w:t>
            </w:r>
          </w:p>
        </w:tc>
      </w:tr>
      <w:tr w:rsidR="00B611A5" w:rsidRPr="00123B7B" w14:paraId="7D373689" w14:textId="77777777">
        <w:tc>
          <w:tcPr>
            <w:tcW w:w="9639" w:type="dxa"/>
          </w:tcPr>
          <w:p w14:paraId="4BAE6A7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Współzależność kryzysów finansowych, gospodarczych i fiskalnych. Istota i przyczyny kryzysu finansów publicznych w niektórych krajach stery euro.</w:t>
            </w:r>
          </w:p>
        </w:tc>
      </w:tr>
      <w:tr w:rsidR="00B611A5" w:rsidRPr="00123B7B" w14:paraId="4F9E5C3D" w14:textId="77777777">
        <w:tc>
          <w:tcPr>
            <w:tcW w:w="9639" w:type="dxa"/>
          </w:tcPr>
          <w:p w14:paraId="4A34333C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Istota, cele i narzędzia polityki podatkowej. Podatek jako kategoria ekonomiczna. Teorie podatkowe (m.in. teoria optymalnego opodatkowani), ekonomiczne skutki podatków, krzywa </w:t>
            </w:r>
            <w:proofErr w:type="spellStart"/>
            <w:r w:rsidRPr="00123B7B">
              <w:rPr>
                <w:rFonts w:ascii="Corbel" w:hAnsi="Corbel" w:cs="Corbel"/>
              </w:rPr>
              <w:t>Laffera</w:t>
            </w:r>
            <w:proofErr w:type="spellEnd"/>
            <w:r w:rsidRPr="00123B7B">
              <w:rPr>
                <w:rFonts w:ascii="Corbel" w:hAnsi="Corbel" w:cs="Corbel"/>
              </w:rPr>
              <w:t xml:space="preserve"> i jej interpretacja.</w:t>
            </w:r>
          </w:p>
        </w:tc>
      </w:tr>
      <w:tr w:rsidR="00B611A5" w:rsidRPr="00123B7B" w14:paraId="46DAF55A" w14:textId="77777777">
        <w:tc>
          <w:tcPr>
            <w:tcW w:w="9639" w:type="dxa"/>
          </w:tcPr>
          <w:p w14:paraId="0945690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Finanse jednostek samorządu terytorialnego. Źródła dochodów i wydatki różnych szczebli samorządu terytorialnego w Polsce.  </w:t>
            </w:r>
          </w:p>
        </w:tc>
      </w:tr>
      <w:tr w:rsidR="00B611A5" w:rsidRPr="00123B7B" w14:paraId="72783AF6" w14:textId="77777777">
        <w:tc>
          <w:tcPr>
            <w:tcW w:w="9639" w:type="dxa"/>
          </w:tcPr>
          <w:p w14:paraId="5903664B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Problematyka finansów systemu ubezpieczeń społecznych. Struktura instytucjonalna systemu emerytalno-rentowego w Polsce. Przyczyny nierównowagi finansów funduszu ubezpieczeń społecznych.</w:t>
            </w:r>
          </w:p>
        </w:tc>
      </w:tr>
    </w:tbl>
    <w:p w14:paraId="097AE8E8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p w14:paraId="4B45B15F" w14:textId="77777777" w:rsidR="00B611A5" w:rsidRPr="00123B7B" w:rsidRDefault="00B611A5" w:rsidP="00C9412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1518EB31" w14:textId="77777777">
        <w:tc>
          <w:tcPr>
            <w:tcW w:w="9639" w:type="dxa"/>
          </w:tcPr>
          <w:p w14:paraId="4BB25FFB" w14:textId="77777777" w:rsidR="00B611A5" w:rsidRPr="00123B7B" w:rsidRDefault="00B611A5" w:rsidP="005009B4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350B633C" w14:textId="77777777">
        <w:tc>
          <w:tcPr>
            <w:tcW w:w="9639" w:type="dxa"/>
          </w:tcPr>
          <w:p w14:paraId="7803637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Budżet państwa. Tryb opracowania i uchwalania budżetu państwa i ustaw około budżetowych. Konsekwencje zasad budżetowych. Dysponenci części budżetowej i ich struktura.</w:t>
            </w:r>
          </w:p>
        </w:tc>
      </w:tr>
      <w:tr w:rsidR="00B611A5" w:rsidRPr="00123B7B" w14:paraId="19AD2469" w14:textId="77777777">
        <w:tc>
          <w:tcPr>
            <w:tcW w:w="9639" w:type="dxa"/>
          </w:tcPr>
          <w:p w14:paraId="10EAC5A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Pojęcie i formy dochodów budżetu państwa. Charakterystyka dochodów w  sektorze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</w:t>
            </w:r>
            <w:proofErr w:type="spellEnd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 xml:space="preserve">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government</w:t>
            </w:r>
            <w:proofErr w:type="spellEnd"/>
            <w:r w:rsidRPr="00123B7B">
              <w:rPr>
                <w:rFonts w:ascii="Corbel" w:hAnsi="Corbel" w:cs="Corbel"/>
              </w:rPr>
              <w:t xml:space="preserve"> (ich form, źródeł i struktury) 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. Wydatki sektora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</w:t>
            </w:r>
            <w:proofErr w:type="spellEnd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 xml:space="preserve"> </w:t>
            </w:r>
            <w:proofErr w:type="spellStart"/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government</w:t>
            </w:r>
            <w:proofErr w:type="spellEnd"/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 – ich dynamika i struktura na przykładzie Polski.</w:t>
            </w:r>
          </w:p>
        </w:tc>
      </w:tr>
      <w:tr w:rsidR="00B611A5" w:rsidRPr="00123B7B" w14:paraId="04C60475" w14:textId="77777777">
        <w:tc>
          <w:tcPr>
            <w:tcW w:w="9639" w:type="dxa"/>
          </w:tcPr>
          <w:p w14:paraId="225A7EFA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Metody budżetowania - budżet liniowy, zadaniowy, operacyjny i mieszany. Budżet zadaniowy jako instrument zarządzania w jednostkach sektora finansów publicznych. </w:t>
            </w:r>
          </w:p>
        </w:tc>
      </w:tr>
      <w:tr w:rsidR="00B611A5" w:rsidRPr="00123B7B" w14:paraId="5C579922" w14:textId="77777777">
        <w:tc>
          <w:tcPr>
            <w:tcW w:w="9639" w:type="dxa"/>
          </w:tcPr>
          <w:p w14:paraId="3BA5A27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samorządu terytorialnego w Polsce. Zasady gospodarki finansowej jednostek samorządu terytorialnego (JST) i budżet JST. Realizacja zadań publicznych a gospodarka finansowa JST. Zadania własne gmin, powiatów-analiza porównawcza.</w:t>
            </w:r>
          </w:p>
        </w:tc>
      </w:tr>
      <w:tr w:rsidR="00B611A5" w:rsidRPr="00123B7B" w14:paraId="701E5F00" w14:textId="77777777">
        <w:tc>
          <w:tcPr>
            <w:tcW w:w="9639" w:type="dxa"/>
          </w:tcPr>
          <w:p w14:paraId="279A93A1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Podatki lokalne i władztwo podatkowe w kontekście finansów jednostek samorządu terytorialnego.  Dochody z źródeł publicznych a samodzielność finansowa JST.</w:t>
            </w:r>
          </w:p>
        </w:tc>
      </w:tr>
      <w:tr w:rsidR="00B611A5" w:rsidRPr="00123B7B" w14:paraId="32AF294B" w14:textId="77777777">
        <w:tc>
          <w:tcPr>
            <w:tcW w:w="9639" w:type="dxa"/>
          </w:tcPr>
          <w:p w14:paraId="582F8932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Sprawozdawczość finansowa w JST. Procedury badania sprawozdań finansowych w JST. Analiza kondycji ekonomiczno-finansowej JST. </w:t>
            </w:r>
          </w:p>
        </w:tc>
      </w:tr>
      <w:tr w:rsidR="00B611A5" w:rsidRPr="00123B7B" w14:paraId="3796E5BB" w14:textId="77777777">
        <w:tc>
          <w:tcPr>
            <w:tcW w:w="9639" w:type="dxa"/>
          </w:tcPr>
          <w:p w14:paraId="04CFEBD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Zarządzanie deficytem i długiem na szczeblu jednostek samorządu terytorialnego.</w:t>
            </w:r>
          </w:p>
        </w:tc>
      </w:tr>
      <w:tr w:rsidR="00B611A5" w:rsidRPr="00123B7B" w14:paraId="6DA05C07" w14:textId="77777777">
        <w:tc>
          <w:tcPr>
            <w:tcW w:w="9639" w:type="dxa"/>
          </w:tcPr>
          <w:p w14:paraId="32F7F5E0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sektora ubezpieczeń społecznych. Fundusze i elementy systemu ubezpieczeń społecznych w Polsce. Ubezpieczenia emerytalne – istota i zasady. Filary ubezpieczeń emerytalnych (różnice).</w:t>
            </w:r>
          </w:p>
        </w:tc>
      </w:tr>
      <w:tr w:rsidR="00B611A5" w:rsidRPr="00123B7B" w14:paraId="1D4DC6D4" w14:textId="77777777">
        <w:tc>
          <w:tcPr>
            <w:tcW w:w="9639" w:type="dxa"/>
          </w:tcPr>
          <w:p w14:paraId="3BF7679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Ubezpieczenia rentowe, chorobowe i wypadkowe. Ustalanie wysokości składek z tytułu ubezpieczeń społecznych osób zatrudnionych oraz przedsiębiorców.</w:t>
            </w:r>
          </w:p>
        </w:tc>
      </w:tr>
      <w:tr w:rsidR="00B611A5" w:rsidRPr="00123B7B" w14:paraId="3B0DE4AE" w14:textId="77777777">
        <w:tc>
          <w:tcPr>
            <w:tcW w:w="9639" w:type="dxa"/>
          </w:tcPr>
          <w:p w14:paraId="4BD1649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System finansowania ochrony zdrowia w Polsce. Zarządzanie finansami w jednostkach publicznej służby zdrowia.</w:t>
            </w:r>
          </w:p>
        </w:tc>
      </w:tr>
    </w:tbl>
    <w:p w14:paraId="1F0AB48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8BCD6FD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7F90A556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6B23D724" w14:textId="77777777" w:rsidR="00B611A5" w:rsidRPr="00123B7B" w:rsidRDefault="00B611A5" w:rsidP="00C9412C">
      <w:pPr>
        <w:spacing w:after="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Wykład z prezentacją multimedialną.</w:t>
      </w:r>
    </w:p>
    <w:p w14:paraId="59016681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lastRenderedPageBreak/>
        <w:t>Ćwiczenia obejmują dyskusję moderowaną, analizę i interpretację danych źródłowych oraz rozwiązywanie zadań, analizę budżetów JST, przygotowywanie i udział w dyskusji, pracę zespołową.</w:t>
      </w:r>
    </w:p>
    <w:p w14:paraId="25C64865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42D402E3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A7FA125" w14:textId="77777777" w:rsidR="00B611A5" w:rsidRPr="00123B7B" w:rsidRDefault="00B611A5" w:rsidP="005009B4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p w14:paraId="6D55EAB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611A5" w:rsidRPr="00123B7B" w14:paraId="47CF1E08" w14:textId="77777777">
        <w:tc>
          <w:tcPr>
            <w:tcW w:w="2410" w:type="dxa"/>
            <w:vAlign w:val="center"/>
          </w:tcPr>
          <w:p w14:paraId="141B8738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F1F1D1F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67AD2DCA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C27E37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3570EA09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(w,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, …)</w:t>
            </w:r>
          </w:p>
        </w:tc>
      </w:tr>
      <w:tr w:rsidR="00B611A5" w:rsidRPr="00123B7B" w14:paraId="76DCB0C6" w14:textId="77777777">
        <w:tc>
          <w:tcPr>
            <w:tcW w:w="2410" w:type="dxa"/>
          </w:tcPr>
          <w:p w14:paraId="6FBFECA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103" w:type="dxa"/>
          </w:tcPr>
          <w:p w14:paraId="30E78589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zajęć, kolokwium, egzamin pisemny</w:t>
            </w:r>
          </w:p>
        </w:tc>
        <w:tc>
          <w:tcPr>
            <w:tcW w:w="2126" w:type="dxa"/>
          </w:tcPr>
          <w:p w14:paraId="3CFAA6C5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2DCEFE1A" w14:textId="77777777">
        <w:tc>
          <w:tcPr>
            <w:tcW w:w="2410" w:type="dxa"/>
          </w:tcPr>
          <w:p w14:paraId="0B769AA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103" w:type="dxa"/>
          </w:tcPr>
          <w:p w14:paraId="601718AF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referat z prezentacją, kolokwium, egzamin pisemny</w:t>
            </w:r>
          </w:p>
        </w:tc>
        <w:tc>
          <w:tcPr>
            <w:tcW w:w="2126" w:type="dxa"/>
          </w:tcPr>
          <w:p w14:paraId="711AD7A0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09010818" w14:textId="77777777">
        <w:tc>
          <w:tcPr>
            <w:tcW w:w="2410" w:type="dxa"/>
          </w:tcPr>
          <w:p w14:paraId="78F6F15A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103" w:type="dxa"/>
          </w:tcPr>
          <w:p w14:paraId="3495F598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77FB914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5EA41641" w14:textId="77777777">
        <w:tc>
          <w:tcPr>
            <w:tcW w:w="2410" w:type="dxa"/>
          </w:tcPr>
          <w:p w14:paraId="07A0364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103" w:type="dxa"/>
          </w:tcPr>
          <w:p w14:paraId="284FB037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1428071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3AE6CD5B" w14:textId="77777777">
        <w:tc>
          <w:tcPr>
            <w:tcW w:w="2410" w:type="dxa"/>
          </w:tcPr>
          <w:p w14:paraId="57F697D9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103" w:type="dxa"/>
          </w:tcPr>
          <w:p w14:paraId="2A2C50AD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</w:t>
            </w:r>
          </w:p>
        </w:tc>
        <w:tc>
          <w:tcPr>
            <w:tcW w:w="2126" w:type="dxa"/>
          </w:tcPr>
          <w:p w14:paraId="011FC57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</w:tbl>
    <w:p w14:paraId="4360EA3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05E9D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5E9B1BB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415422E2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74E179A3" w14:textId="77777777">
        <w:tc>
          <w:tcPr>
            <w:tcW w:w="9670" w:type="dxa"/>
          </w:tcPr>
          <w:p w14:paraId="53CB0AAC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Ćwiczenia – ocena z kolokwium skorygowana o ocenę aktywności na zajęciach i ocenę z referatu. </w:t>
            </w:r>
          </w:p>
          <w:p w14:paraId="2F6548C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 – egzamin  pisemny (test: pytania otwarte i zamknięte wielokrotnego wyboru).</w:t>
            </w:r>
          </w:p>
          <w:p w14:paraId="5BA570B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Ocena 3,0 wymaga uzyskania 51% maksymalnej ilości punktów przypisanych do poszczególnych działań składających się na zaliczenie. </w:t>
            </w:r>
          </w:p>
        </w:tc>
      </w:tr>
    </w:tbl>
    <w:p w14:paraId="090450A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5973359" w14:textId="77777777" w:rsidR="00B611A5" w:rsidRPr="00123B7B" w:rsidRDefault="00B611A5" w:rsidP="00C9412C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123B7B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1499898B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611A5" w:rsidRPr="00123B7B" w14:paraId="050163FB" w14:textId="77777777">
        <w:tc>
          <w:tcPr>
            <w:tcW w:w="4962" w:type="dxa"/>
            <w:vAlign w:val="center"/>
          </w:tcPr>
          <w:p w14:paraId="613E536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12F30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B611A5" w:rsidRPr="00123B7B" w14:paraId="01288D7B" w14:textId="77777777">
        <w:tc>
          <w:tcPr>
            <w:tcW w:w="4962" w:type="dxa"/>
          </w:tcPr>
          <w:p w14:paraId="216535E7" w14:textId="6A4A3CA3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kontaktowe wynikające </w:t>
            </w:r>
            <w:r w:rsidR="00934F85">
              <w:rPr>
                <w:rFonts w:ascii="Corbel" w:hAnsi="Corbel" w:cs="Corbel"/>
              </w:rPr>
              <w:t xml:space="preserve">z harmonogramu </w:t>
            </w:r>
            <w:r w:rsidRPr="00123B7B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42D1AEB7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45</w:t>
            </w:r>
          </w:p>
        </w:tc>
      </w:tr>
      <w:tr w:rsidR="00B611A5" w:rsidRPr="00123B7B" w14:paraId="2F40AF4B" w14:textId="77777777">
        <w:tc>
          <w:tcPr>
            <w:tcW w:w="4962" w:type="dxa"/>
          </w:tcPr>
          <w:p w14:paraId="0BC869D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Inne z udziałem nauczyciela</w:t>
            </w:r>
          </w:p>
          <w:p w14:paraId="22916C3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3FF18323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</w:t>
            </w:r>
          </w:p>
        </w:tc>
      </w:tr>
      <w:tr w:rsidR="00B611A5" w:rsidRPr="00123B7B" w14:paraId="22F34BB8" w14:textId="77777777">
        <w:tc>
          <w:tcPr>
            <w:tcW w:w="4962" w:type="dxa"/>
          </w:tcPr>
          <w:p w14:paraId="5F919CAC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</w:t>
            </w:r>
            <w:proofErr w:type="spellStart"/>
            <w:r w:rsidRPr="00123B7B">
              <w:rPr>
                <w:rFonts w:ascii="Corbel" w:hAnsi="Corbel" w:cs="Corbel"/>
              </w:rPr>
              <w:t>niekontaktowe</w:t>
            </w:r>
            <w:proofErr w:type="spellEnd"/>
            <w:r w:rsidRPr="00123B7B">
              <w:rPr>
                <w:rFonts w:ascii="Corbel" w:hAnsi="Corbel" w:cs="Corbel"/>
              </w:rPr>
              <w:t xml:space="preserve"> – praca własna studenta (przygotowanie do zajęć, kolokwium, egzaminu, napisanie referatu)</w:t>
            </w:r>
          </w:p>
        </w:tc>
        <w:tc>
          <w:tcPr>
            <w:tcW w:w="4677" w:type="dxa"/>
          </w:tcPr>
          <w:p w14:paraId="703456D0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52</w:t>
            </w:r>
          </w:p>
        </w:tc>
      </w:tr>
      <w:tr w:rsidR="00B611A5" w:rsidRPr="00123B7B" w14:paraId="3E1E9EE7" w14:textId="77777777">
        <w:tc>
          <w:tcPr>
            <w:tcW w:w="4962" w:type="dxa"/>
          </w:tcPr>
          <w:p w14:paraId="6AACA9E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FE2D59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100</w:t>
            </w:r>
          </w:p>
        </w:tc>
      </w:tr>
      <w:tr w:rsidR="00B611A5" w:rsidRPr="00123B7B" w14:paraId="31ED8E27" w14:textId="77777777">
        <w:tc>
          <w:tcPr>
            <w:tcW w:w="4962" w:type="dxa"/>
          </w:tcPr>
          <w:p w14:paraId="37C2C93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6AE9095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</w:t>
            </w:r>
          </w:p>
        </w:tc>
      </w:tr>
    </w:tbl>
    <w:p w14:paraId="017348D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EBDE4F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6061D3F" w14:textId="48343749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6. PRAKTYKI ZAWODOWE W RAMACH PRZEDMIOTU</w:t>
      </w:r>
    </w:p>
    <w:p w14:paraId="039CB156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2"/>
        <w:gridCol w:w="3926"/>
      </w:tblGrid>
      <w:tr w:rsidR="00B611A5" w:rsidRPr="00123B7B" w14:paraId="3E20E12A" w14:textId="77777777" w:rsidTr="00D12BEC">
        <w:trPr>
          <w:trHeight w:val="397"/>
        </w:trPr>
        <w:tc>
          <w:tcPr>
            <w:tcW w:w="2961" w:type="pct"/>
          </w:tcPr>
          <w:p w14:paraId="2D4BF39B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55CD4019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B611A5" w:rsidRPr="00123B7B" w14:paraId="7B984E83" w14:textId="77777777" w:rsidTr="00D12BEC">
        <w:trPr>
          <w:trHeight w:val="397"/>
        </w:trPr>
        <w:tc>
          <w:tcPr>
            <w:tcW w:w="2961" w:type="pct"/>
          </w:tcPr>
          <w:p w14:paraId="0E6AD92F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341A9A25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1D08E5F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796AD745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B611A5" w:rsidRPr="00123B7B" w14:paraId="269AC938" w14:textId="77777777" w:rsidTr="6CDC0099">
        <w:trPr>
          <w:trHeight w:val="397"/>
        </w:trPr>
        <w:tc>
          <w:tcPr>
            <w:tcW w:w="5000" w:type="pct"/>
          </w:tcPr>
          <w:p w14:paraId="12D16828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6958433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Owsiak S., Finanse publiczne. Współczesne ujęcie, PWN, Warszawa 2017.</w:t>
            </w:r>
          </w:p>
          <w:p w14:paraId="30FD5ED0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Winiarska K. (red.), Sprawozdawczość finansowa i budżetowa jednostek sektora finansów publicznych, Wolters Kluwer, Warszawa 2016.</w:t>
            </w:r>
          </w:p>
          <w:p w14:paraId="032B1394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Heciak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S., Finanse i rachunkowość sektora publicznego,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Presscom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Wrocław 2014.</w:t>
            </w:r>
          </w:p>
        </w:tc>
      </w:tr>
      <w:tr w:rsidR="00B611A5" w:rsidRPr="00123B7B" w14:paraId="77E18082" w14:textId="77777777" w:rsidTr="6CDC0099">
        <w:trPr>
          <w:trHeight w:val="397"/>
        </w:trPr>
        <w:tc>
          <w:tcPr>
            <w:tcW w:w="5000" w:type="pct"/>
          </w:tcPr>
          <w:p w14:paraId="1B26228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lastRenderedPageBreak/>
              <w:t>Literatura uzupełniająca:</w:t>
            </w:r>
          </w:p>
          <w:p w14:paraId="21070323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Kowalczyk M., Podstawy analizy ekonomiczno-finansowej w jednostkach samorządu terytorialnego,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 2017.</w:t>
            </w:r>
          </w:p>
          <w:p w14:paraId="25101FBF" w14:textId="77777777" w:rsidR="00B611A5" w:rsidRPr="00123B7B" w:rsidRDefault="00F705A0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hyperlink r:id="rId10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Dylewski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1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Filipiak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B., </w:t>
            </w:r>
            <w:hyperlink r:id="rId12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Zioło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proofErr w:type="spellStart"/>
            <w:r w:rsidR="00D12BEC">
              <w:fldChar w:fldCharType="begin"/>
            </w:r>
            <w:r w:rsidR="00D12BEC">
              <w:instrText xml:space="preserve"> HYPERLINK "https://www.ksiegarnia.beck.pl/autorzy/malgorzata-gorzalczynska-koczkodaj" </w:instrText>
            </w:r>
            <w:r w:rsidR="00D12BEC">
              <w:fldChar w:fldCharType="separate"/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Gorzałczyńska-Koczkodaj</w:t>
            </w:r>
            <w:proofErr w:type="spellEnd"/>
            <w:r w:rsidR="00D12BEC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fldChar w:fldCharType="end"/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Finanse publiczne: aspekty teoretyczne i praktyczne, </w:t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Wydawnictwo C. H. Beck, Warszawa 2014.</w:t>
            </w:r>
          </w:p>
          <w:p w14:paraId="769EA78B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Kaczurak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-Kozak M., Walczak P.,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Culepa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Vademecum głównego księgowego jednostki finansów publicznych, Wydawnictwo C.H. Beck, Warszawa 2014.</w:t>
            </w:r>
          </w:p>
          <w:p w14:paraId="3F8E7270" w14:textId="77777777" w:rsidR="00B611A5" w:rsidRPr="00123B7B" w:rsidRDefault="00B611A5" w:rsidP="004144E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Gabrusewicz T., Marchewka-Bartkowiak K., Wiśniewski M. (red.), Rachunkowość, finanse, audyt i kontrola: studium przypadków sektora publicznego i prywatnego, </w:t>
            </w:r>
            <w:proofErr w:type="spellStart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CeDeWu</w:t>
            </w:r>
            <w:proofErr w:type="spellEnd"/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, Warszawa, 2013.</w:t>
            </w:r>
          </w:p>
          <w:p w14:paraId="4852B50B" w14:textId="7212AB51" w:rsidR="00B611A5" w:rsidRPr="00123B7B" w:rsidRDefault="00B611A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6CDC0099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Jastrzębska M., Finanse jednostek samorządu terytorialnego, Wolters Kluwer, Warszawa 2012. </w:t>
            </w:r>
          </w:p>
          <w:p w14:paraId="149329D7" w14:textId="7ADEA25C" w:rsidR="00B611A5" w:rsidRPr="00EF2046" w:rsidRDefault="1BE5D53F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</w:t>
            </w:r>
            <w:r w:rsidR="1F9DBC7B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2015,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54-71</w:t>
            </w:r>
            <w:r w:rsidR="446342F5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.</w:t>
            </w:r>
          </w:p>
          <w:p w14:paraId="56C8FEBD" w14:textId="461DD8B0" w:rsidR="00B611A5" w:rsidRPr="00123B7B" w:rsidRDefault="446342F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</w:t>
            </w:r>
            <w:r w:rsidR="42FF0A8E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2018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5-18.</w:t>
            </w:r>
          </w:p>
        </w:tc>
      </w:tr>
    </w:tbl>
    <w:p w14:paraId="210BF1FD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24F4D00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749EDE4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A380518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22282537" w14:textId="77777777" w:rsidR="00B611A5" w:rsidRPr="00123B7B" w:rsidRDefault="00B611A5" w:rsidP="00C9412C">
      <w:pPr>
        <w:spacing w:line="240" w:lineRule="auto"/>
        <w:rPr>
          <w:rFonts w:ascii="Corbel" w:hAnsi="Corbel" w:cs="Corbel"/>
        </w:rPr>
      </w:pPr>
    </w:p>
    <w:sectPr w:rsidR="00B611A5" w:rsidRPr="00123B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42498E" w14:textId="77777777" w:rsidR="00F705A0" w:rsidRDefault="00F705A0" w:rsidP="00C24C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3EFC817" w14:textId="77777777" w:rsidR="00F705A0" w:rsidRDefault="00F705A0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A04FF" w14:textId="77777777" w:rsidR="00F705A0" w:rsidRDefault="00F705A0" w:rsidP="00C24C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CED1251" w14:textId="77777777" w:rsidR="00F705A0" w:rsidRDefault="00F705A0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432E5B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E81E8C"/>
    <w:multiLevelType w:val="hybridMultilevel"/>
    <w:tmpl w:val="3DCAD666"/>
    <w:lvl w:ilvl="0" w:tplc="7E6ED8C0">
      <w:start w:val="1"/>
      <w:numFmt w:val="decimal"/>
      <w:lvlText w:val="%1."/>
      <w:lvlJc w:val="left"/>
      <w:pPr>
        <w:ind w:left="720" w:hanging="360"/>
      </w:pPr>
    </w:lvl>
    <w:lvl w:ilvl="1" w:tplc="B6C8A7FA">
      <w:start w:val="1"/>
      <w:numFmt w:val="lowerLetter"/>
      <w:lvlText w:val="%2."/>
      <w:lvlJc w:val="left"/>
      <w:pPr>
        <w:ind w:left="1440" w:hanging="360"/>
      </w:pPr>
    </w:lvl>
    <w:lvl w:ilvl="2" w:tplc="D1789DD4">
      <w:start w:val="1"/>
      <w:numFmt w:val="lowerRoman"/>
      <w:lvlText w:val="%3."/>
      <w:lvlJc w:val="right"/>
      <w:pPr>
        <w:ind w:left="2160" w:hanging="180"/>
      </w:pPr>
    </w:lvl>
    <w:lvl w:ilvl="3" w:tplc="44C6AC02">
      <w:start w:val="1"/>
      <w:numFmt w:val="decimal"/>
      <w:lvlText w:val="%4."/>
      <w:lvlJc w:val="left"/>
      <w:pPr>
        <w:ind w:left="2880" w:hanging="360"/>
      </w:pPr>
    </w:lvl>
    <w:lvl w:ilvl="4" w:tplc="7DE2A5D8">
      <w:start w:val="1"/>
      <w:numFmt w:val="lowerLetter"/>
      <w:lvlText w:val="%5."/>
      <w:lvlJc w:val="left"/>
      <w:pPr>
        <w:ind w:left="3600" w:hanging="360"/>
      </w:pPr>
    </w:lvl>
    <w:lvl w:ilvl="5" w:tplc="F5B48D86">
      <w:start w:val="1"/>
      <w:numFmt w:val="lowerRoman"/>
      <w:lvlText w:val="%6."/>
      <w:lvlJc w:val="right"/>
      <w:pPr>
        <w:ind w:left="4320" w:hanging="180"/>
      </w:pPr>
    </w:lvl>
    <w:lvl w:ilvl="6" w:tplc="B846C75E">
      <w:start w:val="1"/>
      <w:numFmt w:val="decimal"/>
      <w:lvlText w:val="%7."/>
      <w:lvlJc w:val="left"/>
      <w:pPr>
        <w:ind w:left="5040" w:hanging="360"/>
      </w:pPr>
    </w:lvl>
    <w:lvl w:ilvl="7" w:tplc="FB4C429E">
      <w:start w:val="1"/>
      <w:numFmt w:val="lowerLetter"/>
      <w:lvlText w:val="%8."/>
      <w:lvlJc w:val="left"/>
      <w:pPr>
        <w:ind w:left="5760" w:hanging="360"/>
      </w:pPr>
    </w:lvl>
    <w:lvl w:ilvl="8" w:tplc="05BC65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852AA"/>
    <w:multiLevelType w:val="hybridMultilevel"/>
    <w:tmpl w:val="21FE5BA8"/>
    <w:lvl w:ilvl="0" w:tplc="96DCFA20">
      <w:start w:val="1"/>
      <w:numFmt w:val="decimal"/>
      <w:lvlText w:val="%1."/>
      <w:lvlJc w:val="left"/>
      <w:pPr>
        <w:ind w:left="720" w:hanging="360"/>
      </w:pPr>
    </w:lvl>
    <w:lvl w:ilvl="1" w:tplc="5648A020">
      <w:start w:val="1"/>
      <w:numFmt w:val="lowerLetter"/>
      <w:lvlText w:val="%2."/>
      <w:lvlJc w:val="left"/>
      <w:pPr>
        <w:ind w:left="1440" w:hanging="360"/>
      </w:pPr>
    </w:lvl>
    <w:lvl w:ilvl="2" w:tplc="5F64E9C4">
      <w:start w:val="1"/>
      <w:numFmt w:val="lowerRoman"/>
      <w:lvlText w:val="%3."/>
      <w:lvlJc w:val="right"/>
      <w:pPr>
        <w:ind w:left="2160" w:hanging="180"/>
      </w:pPr>
    </w:lvl>
    <w:lvl w:ilvl="3" w:tplc="C2D01CD4">
      <w:start w:val="1"/>
      <w:numFmt w:val="decimal"/>
      <w:lvlText w:val="%4."/>
      <w:lvlJc w:val="left"/>
      <w:pPr>
        <w:ind w:left="2880" w:hanging="360"/>
      </w:pPr>
    </w:lvl>
    <w:lvl w:ilvl="4" w:tplc="36E8AA14">
      <w:start w:val="1"/>
      <w:numFmt w:val="lowerLetter"/>
      <w:lvlText w:val="%5."/>
      <w:lvlJc w:val="left"/>
      <w:pPr>
        <w:ind w:left="3600" w:hanging="360"/>
      </w:pPr>
    </w:lvl>
    <w:lvl w:ilvl="5" w:tplc="4C00FE8E">
      <w:start w:val="1"/>
      <w:numFmt w:val="lowerRoman"/>
      <w:lvlText w:val="%6."/>
      <w:lvlJc w:val="right"/>
      <w:pPr>
        <w:ind w:left="4320" w:hanging="180"/>
      </w:pPr>
    </w:lvl>
    <w:lvl w:ilvl="6" w:tplc="4C48CC56">
      <w:start w:val="1"/>
      <w:numFmt w:val="decimal"/>
      <w:lvlText w:val="%7."/>
      <w:lvlJc w:val="left"/>
      <w:pPr>
        <w:ind w:left="5040" w:hanging="360"/>
      </w:pPr>
    </w:lvl>
    <w:lvl w:ilvl="7" w:tplc="76EA6748">
      <w:start w:val="1"/>
      <w:numFmt w:val="lowerLetter"/>
      <w:lvlText w:val="%8."/>
      <w:lvlJc w:val="left"/>
      <w:pPr>
        <w:ind w:left="5760" w:hanging="360"/>
      </w:pPr>
    </w:lvl>
    <w:lvl w:ilvl="8" w:tplc="B5B68A8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F7B95"/>
    <w:multiLevelType w:val="hybridMultilevel"/>
    <w:tmpl w:val="98405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643C5"/>
    <w:multiLevelType w:val="hybridMultilevel"/>
    <w:tmpl w:val="1E0ABA6C"/>
    <w:lvl w:ilvl="0" w:tplc="5FA22AB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12C"/>
    <w:rsid w:val="000079CC"/>
    <w:rsid w:val="00026510"/>
    <w:rsid w:val="00041EDC"/>
    <w:rsid w:val="00063510"/>
    <w:rsid w:val="0007428C"/>
    <w:rsid w:val="000A356E"/>
    <w:rsid w:val="000E68A5"/>
    <w:rsid w:val="000E7716"/>
    <w:rsid w:val="00107771"/>
    <w:rsid w:val="00112412"/>
    <w:rsid w:val="00123B7B"/>
    <w:rsid w:val="00132C92"/>
    <w:rsid w:val="00183AAB"/>
    <w:rsid w:val="00192F42"/>
    <w:rsid w:val="001C0375"/>
    <w:rsid w:val="001C3F41"/>
    <w:rsid w:val="001D7FCD"/>
    <w:rsid w:val="00252752"/>
    <w:rsid w:val="002615CC"/>
    <w:rsid w:val="002716CC"/>
    <w:rsid w:val="00274CFD"/>
    <w:rsid w:val="00286F03"/>
    <w:rsid w:val="002A0DE2"/>
    <w:rsid w:val="002C6F93"/>
    <w:rsid w:val="002F741B"/>
    <w:rsid w:val="003179A6"/>
    <w:rsid w:val="003B755C"/>
    <w:rsid w:val="004144E6"/>
    <w:rsid w:val="00441B52"/>
    <w:rsid w:val="00455066"/>
    <w:rsid w:val="00457AFE"/>
    <w:rsid w:val="00457E93"/>
    <w:rsid w:val="00475880"/>
    <w:rsid w:val="004E4E3D"/>
    <w:rsid w:val="004EF619"/>
    <w:rsid w:val="005009B4"/>
    <w:rsid w:val="00515001"/>
    <w:rsid w:val="005320A0"/>
    <w:rsid w:val="005418D1"/>
    <w:rsid w:val="00573FDB"/>
    <w:rsid w:val="005F22C2"/>
    <w:rsid w:val="005F66CA"/>
    <w:rsid w:val="00603A5D"/>
    <w:rsid w:val="006137B1"/>
    <w:rsid w:val="006212E1"/>
    <w:rsid w:val="00683140"/>
    <w:rsid w:val="006B5B3C"/>
    <w:rsid w:val="006C6C10"/>
    <w:rsid w:val="006D6567"/>
    <w:rsid w:val="006F300A"/>
    <w:rsid w:val="006F360C"/>
    <w:rsid w:val="006F6A9F"/>
    <w:rsid w:val="007040D8"/>
    <w:rsid w:val="007042E1"/>
    <w:rsid w:val="00725FBD"/>
    <w:rsid w:val="00743A37"/>
    <w:rsid w:val="00746A35"/>
    <w:rsid w:val="0077045C"/>
    <w:rsid w:val="0078133F"/>
    <w:rsid w:val="00795EA0"/>
    <w:rsid w:val="007C3E46"/>
    <w:rsid w:val="00835514"/>
    <w:rsid w:val="00845300"/>
    <w:rsid w:val="008469A8"/>
    <w:rsid w:val="00857315"/>
    <w:rsid w:val="0085747A"/>
    <w:rsid w:val="0086619F"/>
    <w:rsid w:val="00872481"/>
    <w:rsid w:val="008C2F3C"/>
    <w:rsid w:val="008E53F7"/>
    <w:rsid w:val="00920A29"/>
    <w:rsid w:val="00934AB5"/>
    <w:rsid w:val="00934F85"/>
    <w:rsid w:val="009A1D01"/>
    <w:rsid w:val="009B4FF5"/>
    <w:rsid w:val="009B5D0E"/>
    <w:rsid w:val="009C54AE"/>
    <w:rsid w:val="009C78D6"/>
    <w:rsid w:val="00A16C1D"/>
    <w:rsid w:val="00A40AEA"/>
    <w:rsid w:val="00A458AB"/>
    <w:rsid w:val="00AA1050"/>
    <w:rsid w:val="00AE39DF"/>
    <w:rsid w:val="00B611A5"/>
    <w:rsid w:val="00B65818"/>
    <w:rsid w:val="00B6751C"/>
    <w:rsid w:val="00B75BA6"/>
    <w:rsid w:val="00B82C20"/>
    <w:rsid w:val="00BD7427"/>
    <w:rsid w:val="00C01156"/>
    <w:rsid w:val="00C24C3A"/>
    <w:rsid w:val="00C2703A"/>
    <w:rsid w:val="00C44DB0"/>
    <w:rsid w:val="00C72E3B"/>
    <w:rsid w:val="00C842B7"/>
    <w:rsid w:val="00C9412C"/>
    <w:rsid w:val="00CC6A1D"/>
    <w:rsid w:val="00CF7B60"/>
    <w:rsid w:val="00D12BEC"/>
    <w:rsid w:val="00D3784C"/>
    <w:rsid w:val="00D44893"/>
    <w:rsid w:val="00D62F68"/>
    <w:rsid w:val="00D657B3"/>
    <w:rsid w:val="00D75AFE"/>
    <w:rsid w:val="00D77C3A"/>
    <w:rsid w:val="00D86055"/>
    <w:rsid w:val="00D86D5D"/>
    <w:rsid w:val="00DE0CCD"/>
    <w:rsid w:val="00E11A88"/>
    <w:rsid w:val="00E15B9F"/>
    <w:rsid w:val="00E1710D"/>
    <w:rsid w:val="00E332E8"/>
    <w:rsid w:val="00E41C08"/>
    <w:rsid w:val="00E833E5"/>
    <w:rsid w:val="00EA30CB"/>
    <w:rsid w:val="00EE4C08"/>
    <w:rsid w:val="00EF2046"/>
    <w:rsid w:val="00EF5127"/>
    <w:rsid w:val="00EF5884"/>
    <w:rsid w:val="00F322FF"/>
    <w:rsid w:val="00F63183"/>
    <w:rsid w:val="00F705A0"/>
    <w:rsid w:val="00F719E3"/>
    <w:rsid w:val="00F9050C"/>
    <w:rsid w:val="05D3C73C"/>
    <w:rsid w:val="094CE0AC"/>
    <w:rsid w:val="0BE121EA"/>
    <w:rsid w:val="1BE5D53F"/>
    <w:rsid w:val="1F9DBC7B"/>
    <w:rsid w:val="313AC7F2"/>
    <w:rsid w:val="42FF0A8E"/>
    <w:rsid w:val="446342F5"/>
    <w:rsid w:val="464EFC81"/>
    <w:rsid w:val="5108B0B9"/>
    <w:rsid w:val="52F1CA36"/>
    <w:rsid w:val="5CB16603"/>
    <w:rsid w:val="64CE38DD"/>
    <w:rsid w:val="6A717E3C"/>
    <w:rsid w:val="6CDC0099"/>
    <w:rsid w:val="7653BA4E"/>
    <w:rsid w:val="7C1B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0D6E5"/>
  <w15:docId w15:val="{44F0911A-3F10-4BD5-8C91-99EB15DA8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  <w:rPr>
      <w:rFonts w:eastAsia="Calibri"/>
      <w:sz w:val="20"/>
      <w:szCs w:val="20"/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833E5"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5009B4"/>
    <w:pPr>
      <w:ind w:left="720"/>
    </w:pPr>
  </w:style>
  <w:style w:type="paragraph" w:customStyle="1" w:styleId="paragraph">
    <w:name w:val="paragraph"/>
    <w:basedOn w:val="Normalny"/>
    <w:rsid w:val="00F631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3183"/>
  </w:style>
  <w:style w:type="character" w:customStyle="1" w:styleId="spellingerror">
    <w:name w:val="spellingerror"/>
    <w:basedOn w:val="Domylnaczcionkaakapitu"/>
    <w:rsid w:val="00F63183"/>
  </w:style>
  <w:style w:type="character" w:customStyle="1" w:styleId="eop">
    <w:name w:val="eop"/>
    <w:basedOn w:val="Domylnaczcionkaakapitu"/>
    <w:rsid w:val="00F6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ksiegarnia.beck.pl/autorzy/magdalena-ziol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siegarnia.beck.pl/autorzy/beata-filipiak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ksiegarnia.beck.pl/autorzy/marek-dylewsk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B1A99-3460-458A-8D12-05C94BEC70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E8A2C3-D591-497C-A8FD-FC4644343C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C7211C-8849-4EA8-8A71-6F33D406DE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1533</Words>
  <Characters>9202</Characters>
  <Application>Microsoft Office Word</Application>
  <DocSecurity>0</DocSecurity>
  <Lines>76</Lines>
  <Paragraphs>21</Paragraphs>
  <ScaleCrop>false</ScaleCrop>
  <Company>Hewlett-Packard</Company>
  <LinksUpToDate>false</LinksUpToDate>
  <CharactersWithSpaces>10714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Paulina Filip</dc:creator>
  <cp:keywords/>
  <dc:description/>
  <cp:lastModifiedBy>Jadwiga Pawłowska-Mielech</cp:lastModifiedBy>
  <cp:revision>11</cp:revision>
  <dcterms:created xsi:type="dcterms:W3CDTF">2020-11-17T07:23:00Z</dcterms:created>
  <dcterms:modified xsi:type="dcterms:W3CDTF">2020-12-07T18:26:00Z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