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916804B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081A37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7629A16C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081A37">
        <w:rPr>
          <w:rFonts w:ascii="Corbel" w:hAnsi="Corbel"/>
          <w:sz w:val="20"/>
          <w:szCs w:val="20"/>
        </w:rPr>
        <w:t>4</w:t>
      </w:r>
      <w:r w:rsidRPr="000074E4">
        <w:rPr>
          <w:rFonts w:ascii="Corbel" w:hAnsi="Corbel"/>
          <w:sz w:val="20"/>
          <w:szCs w:val="20"/>
        </w:rPr>
        <w:t>/202</w:t>
      </w:r>
      <w:r w:rsidR="00081A37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3ED16C9F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674326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0074E4" w:rsidRDefault="000074E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074E4" w:rsidRDefault="00007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0074E4" w:rsidRDefault="000074E4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9E8D0C7" w:rsidR="00015B8F" w:rsidRPr="000074E4" w:rsidRDefault="006833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Teams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C26854" w14:textId="77777777" w:rsidR="00C8044D" w:rsidRDefault="00C8044D" w:rsidP="00C8044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oceny,Ćwiczenia  -zaliczenie z oceną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0EF51A7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10A941C4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3FA3876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r w:rsidRPr="000074E4">
              <w:rPr>
                <w:rFonts w:ascii="Corbel" w:eastAsia="Times New Roman" w:hAnsi="Corbel"/>
                <w:lang w:val="en-US" w:eastAsia="pl-PL"/>
              </w:rPr>
              <w:t xml:space="preserve">Analiza portfolio (macierz BCG; macierz General Electric) (analiza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>W realizacji zajęć podstawą będzie wykonywanie przykładów opartych na case study</w:t>
      </w:r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000BDA9E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66967AC2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35F04A4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2DD3700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D57D21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17EE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30A44357" w:rsidR="00C61DC5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35299CD8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740C3D2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>Franciszek Krawiec. Warszawa: Difin,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Wierzbinski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Humanities and Social Sciences, HSS, vol. XXIII, 25 (1/2018), wyd. Politechniki Rzeszowskiej,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tegie biznesowe / Paul M. Elkin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; [przeł. Joanna Borowska]. Wyd. 2. Warszawa: WoltersKluwer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8F670" w14:textId="77777777" w:rsidR="0018315C" w:rsidRDefault="0018315C" w:rsidP="00C16ABF">
      <w:pPr>
        <w:spacing w:after="0" w:line="240" w:lineRule="auto"/>
      </w:pPr>
      <w:r>
        <w:separator/>
      </w:r>
    </w:p>
  </w:endnote>
  <w:endnote w:type="continuationSeparator" w:id="0">
    <w:p w14:paraId="472DE329" w14:textId="77777777" w:rsidR="0018315C" w:rsidRDefault="001831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124F1" w14:textId="77777777" w:rsidR="0018315C" w:rsidRDefault="0018315C" w:rsidP="00C16ABF">
      <w:pPr>
        <w:spacing w:after="0" w:line="240" w:lineRule="auto"/>
      </w:pPr>
      <w:r>
        <w:separator/>
      </w:r>
    </w:p>
  </w:footnote>
  <w:footnote w:type="continuationSeparator" w:id="0">
    <w:p w14:paraId="736BB745" w14:textId="77777777" w:rsidR="0018315C" w:rsidRDefault="0018315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A37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15C"/>
    <w:rsid w:val="00183215"/>
    <w:rsid w:val="00192F37"/>
    <w:rsid w:val="001A70D2"/>
    <w:rsid w:val="001D2387"/>
    <w:rsid w:val="001D3F1C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2F6220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578C0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4326"/>
    <w:rsid w:val="00675843"/>
    <w:rsid w:val="00677FE3"/>
    <w:rsid w:val="0068330A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1F99"/>
    <w:rsid w:val="0094491A"/>
    <w:rsid w:val="009508DF"/>
    <w:rsid w:val="00950DAC"/>
    <w:rsid w:val="00954A07"/>
    <w:rsid w:val="00963A97"/>
    <w:rsid w:val="00970C16"/>
    <w:rsid w:val="00997F14"/>
    <w:rsid w:val="009A4033"/>
    <w:rsid w:val="009A78D9"/>
    <w:rsid w:val="009C3E31"/>
    <w:rsid w:val="009C5266"/>
    <w:rsid w:val="009C54AE"/>
    <w:rsid w:val="009C788E"/>
    <w:rsid w:val="009E3B41"/>
    <w:rsid w:val="009F3408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F5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7817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8044D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57D21"/>
    <w:rsid w:val="00D608D1"/>
    <w:rsid w:val="00D74119"/>
    <w:rsid w:val="00D77AB8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75271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C4D32-7F85-4AB1-A550-C4BAF3D5B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D54D1A-2502-4802-900E-BA90188D53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AC5406-6192-4DEF-AC16-79C9871E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1075</Words>
  <Characters>6456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2017-04-27T18:28:00Z</cp:lastPrinted>
  <dcterms:created xsi:type="dcterms:W3CDTF">2020-12-03T06:44:00Z</dcterms:created>
  <dcterms:modified xsi:type="dcterms:W3CDTF">2024-01-24T10:30:00Z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