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ABBC" w14:textId="77777777" w:rsidR="00C552A7" w:rsidRPr="00E960BB" w:rsidRDefault="00F107EC" w:rsidP="00C552A7">
      <w:pPr>
        <w:spacing w:line="240" w:lineRule="auto"/>
        <w:jc w:val="right"/>
        <w:rPr>
          <w:rFonts w:ascii="Corbel" w:hAnsi="Corbel"/>
          <w:bCs/>
          <w:i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="00C552A7" w:rsidRPr="00E960BB">
        <w:rPr>
          <w:rFonts w:ascii="Corbel" w:hAnsi="Corbel"/>
          <w:bCs/>
          <w:i/>
        </w:rPr>
        <w:t xml:space="preserve">Załącznik nr 1.5 do Zarządzenia Rektora UR nr </w:t>
      </w:r>
      <w:r w:rsidR="00C552A7">
        <w:rPr>
          <w:rFonts w:ascii="Corbel" w:hAnsi="Corbel"/>
          <w:bCs/>
          <w:i/>
        </w:rPr>
        <w:t>7</w:t>
      </w:r>
      <w:r w:rsidR="00C552A7" w:rsidRPr="00E960BB">
        <w:rPr>
          <w:rFonts w:ascii="Corbel" w:hAnsi="Corbel"/>
          <w:bCs/>
          <w:i/>
        </w:rPr>
        <w:t>/20</w:t>
      </w:r>
      <w:r w:rsidR="00C552A7">
        <w:rPr>
          <w:rFonts w:ascii="Corbel" w:hAnsi="Corbel"/>
          <w:bCs/>
          <w:i/>
        </w:rPr>
        <w:t>23</w:t>
      </w:r>
    </w:p>
    <w:p w14:paraId="7A90B1C3" w14:textId="77100A79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4F4296B3" w:rsidR="00F107EC" w:rsidRPr="006D0578" w:rsidRDefault="00F107EC" w:rsidP="2E53EE49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2E53EE4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2E53EE4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2E53EE49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6B0E64">
        <w:rPr>
          <w:rFonts w:ascii="Corbel" w:hAnsi="Corbel" w:cs="Corbel"/>
          <w:i/>
          <w:iCs/>
          <w:smallCaps/>
          <w:sz w:val="24"/>
          <w:szCs w:val="24"/>
        </w:rPr>
        <w:t>3</w:t>
      </w:r>
      <w:r w:rsidRPr="2E53EE4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6B0E64">
        <w:rPr>
          <w:rFonts w:ascii="Corbel" w:hAnsi="Corbel" w:cs="Corbel"/>
          <w:i/>
          <w:iCs/>
          <w:smallCaps/>
          <w:sz w:val="24"/>
          <w:szCs w:val="24"/>
        </w:rPr>
        <w:t>6</w:t>
      </w:r>
    </w:p>
    <w:p w14:paraId="3AC0BB56" w14:textId="228D4BB1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2E53EE49">
        <w:rPr>
          <w:rFonts w:ascii="Corbel" w:hAnsi="Corbel" w:cs="Corbel"/>
        </w:rPr>
        <w:t>Rok akademicki   202</w:t>
      </w:r>
      <w:r w:rsidR="006B0E64">
        <w:rPr>
          <w:rFonts w:ascii="Corbel" w:hAnsi="Corbel" w:cs="Corbel"/>
        </w:rPr>
        <w:t>3</w:t>
      </w:r>
      <w:r w:rsidRPr="2E53EE49">
        <w:rPr>
          <w:rFonts w:ascii="Corbel" w:hAnsi="Corbel" w:cs="Corbel"/>
        </w:rPr>
        <w:t>-202</w:t>
      </w:r>
      <w:r w:rsidR="006B0E64">
        <w:rPr>
          <w:rFonts w:ascii="Corbel" w:hAnsi="Corbel" w:cs="Corbel"/>
        </w:rPr>
        <w:t>4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 w:rsidTr="0EEC0F7C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 w:rsidTr="0EEC0F7C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3CB2AD0C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2E53EE49">
              <w:rPr>
                <w:rFonts w:ascii="Corbel" w:hAnsi="Corbel" w:cs="Corbel"/>
                <w:sz w:val="24"/>
                <w:szCs w:val="24"/>
              </w:rPr>
              <w:t>E/I/B.5</w:t>
            </w:r>
          </w:p>
        </w:tc>
      </w:tr>
      <w:tr w:rsidR="00F107EC" w:rsidRPr="006D0578" w14:paraId="3A492C77" w14:textId="77777777" w:rsidTr="0EEC0F7C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 w:rsidTr="0EEC0F7C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 w:rsidTr="0EEC0F7C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 w:rsidTr="0EEC0F7C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 w:rsidTr="0EEC0F7C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07EC" w:rsidRPr="006D0578" w14:paraId="79EFA107" w14:textId="77777777" w:rsidTr="0EEC0F7C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014E2003" w:rsidR="00F107EC" w:rsidRPr="006D0578" w:rsidRDefault="00AE14F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A7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 w:rsidTr="0EEC0F7C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 w:rsidTr="0EEC0F7C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 w:rsidTr="0EEC0F7C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 w:rsidTr="0EEC0F7C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 w:rsidTr="0EEC0F7C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12280CBD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EC0F7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Ryszard Kata, prof. UR, mgr Magdalena Suraj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9797CF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69B13D4D" w14:textId="5D3F991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72FBA46E" w:rsidR="00F107EC" w:rsidRPr="006D0578" w:rsidRDefault="005B3FB0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 xml:space="preserve">          wykład e</w:t>
      </w:r>
      <w:r w:rsidR="00F107EC" w:rsidRPr="37BC51DB">
        <w:rPr>
          <w:rFonts w:ascii="Corbel" w:hAnsi="Corbel" w:cs="Corbel"/>
          <w:b w:val="0"/>
          <w:bCs w:val="0"/>
          <w:smallCaps w:val="0"/>
        </w:rPr>
        <w:t>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</w:t>
      </w:r>
      <w:r>
        <w:rPr>
          <w:rFonts w:ascii="Corbel" w:hAnsi="Corbel" w:cs="Corbel"/>
          <w:b w:val="0"/>
          <w:bCs w:val="0"/>
          <w:smallCaps w:val="0"/>
        </w:rPr>
        <w:br/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ćwicze</w:t>
      </w:r>
      <w:r>
        <w:rPr>
          <w:rFonts w:ascii="Corbel" w:hAnsi="Corbel" w:cs="Corbel"/>
          <w:b w:val="0"/>
          <w:bCs w:val="0"/>
          <w:smallCaps w:val="0"/>
        </w:rPr>
        <w:t xml:space="preserve">nia 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</w:t>
      </w:r>
      <w:r w:rsidRPr="37BC51DB">
        <w:rPr>
          <w:rFonts w:ascii="Corbel" w:hAnsi="Corbel" w:cs="Corbel"/>
          <w:b w:val="0"/>
          <w:bCs w:val="0"/>
          <w:smallCaps w:val="0"/>
        </w:rPr>
        <w:t xml:space="preserve">zaliczenie </w:t>
      </w:r>
      <w:r w:rsidR="4F776E2F" w:rsidRPr="37BC51DB">
        <w:rPr>
          <w:rFonts w:ascii="Corbel" w:hAnsi="Corbel" w:cs="Corbel"/>
          <w:b w:val="0"/>
          <w:bCs w:val="0"/>
          <w:smallCaps w:val="0"/>
        </w:rPr>
        <w:t>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16606A09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6174D196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59995C61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6B79DCDD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F215D9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3D1AEC24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4CE2039C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 xml:space="preserve">kolokwium, 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referat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</w:t>
            </w:r>
            <w:r w:rsidR="003341DB">
              <w:rPr>
                <w:rFonts w:ascii="Corbel" w:hAnsi="Corbel" w:cs="Corbel"/>
                <w:b w:val="0"/>
                <w:bCs w:val="0"/>
                <w:smallCaps w:val="0"/>
              </w:rPr>
              <w:t>ć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59BF14CD" w:rsidR="00F107EC" w:rsidRPr="006D0578" w:rsidRDefault="00F107EC" w:rsidP="00C552A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7B603983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4135EB5E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9005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191E" w14:textId="77777777" w:rsidR="0090055B" w:rsidRDefault="0090055B" w:rsidP="00C16ABF">
      <w:pPr>
        <w:spacing w:after="0" w:line="240" w:lineRule="auto"/>
      </w:pPr>
      <w:r>
        <w:separator/>
      </w:r>
    </w:p>
  </w:endnote>
  <w:endnote w:type="continuationSeparator" w:id="0">
    <w:p w14:paraId="2BF1FF9B" w14:textId="77777777" w:rsidR="0090055B" w:rsidRDefault="009005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D307" w14:textId="77777777" w:rsidR="0090055B" w:rsidRDefault="0090055B" w:rsidP="00C16ABF">
      <w:pPr>
        <w:spacing w:after="0" w:line="240" w:lineRule="auto"/>
      </w:pPr>
      <w:r>
        <w:separator/>
      </w:r>
    </w:p>
  </w:footnote>
  <w:footnote w:type="continuationSeparator" w:id="0">
    <w:p w14:paraId="7B5CC6A1" w14:textId="77777777" w:rsidR="0090055B" w:rsidRDefault="009005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2114230">
    <w:abstractNumId w:val="0"/>
  </w:num>
  <w:num w:numId="2" w16cid:durableId="676075932">
    <w:abstractNumId w:val="1"/>
  </w:num>
  <w:num w:numId="3" w16cid:durableId="2064019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AB1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E4"/>
    <w:rsid w:val="00326A51"/>
    <w:rsid w:val="003341DB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1D2D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B3FB0"/>
    <w:rsid w:val="005C080F"/>
    <w:rsid w:val="005C55E5"/>
    <w:rsid w:val="005C696A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1D4F"/>
    <w:rsid w:val="00696477"/>
    <w:rsid w:val="006A4A2E"/>
    <w:rsid w:val="006B0E64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24F02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55B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11E7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2A7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061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15D9"/>
    <w:rsid w:val="00F27A7B"/>
    <w:rsid w:val="00F47D3A"/>
    <w:rsid w:val="00F526AF"/>
    <w:rsid w:val="00F617C3"/>
    <w:rsid w:val="00F7066B"/>
    <w:rsid w:val="00F724D6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0EEC0F7C"/>
    <w:rsid w:val="14366170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E53EE49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6AF5E-0430-4C6C-85EE-CC271D5A1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1439</Words>
  <Characters>8636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 Suraj</cp:lastModifiedBy>
  <cp:revision>2</cp:revision>
  <cp:lastPrinted>2019-02-06T12:12:00Z</cp:lastPrinted>
  <dcterms:created xsi:type="dcterms:W3CDTF">2024-03-12T10:42:00Z</dcterms:created>
  <dcterms:modified xsi:type="dcterms:W3CDTF">2024-03-12T10:42:00Z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