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768" w:rsidRPr="00025768" w:rsidRDefault="00025768" w:rsidP="00025768">
      <w:pPr>
        <w:spacing w:after="0" w:line="240" w:lineRule="auto"/>
        <w:jc w:val="center"/>
        <w:rPr>
          <w:rFonts w:ascii="Corbel" w:hAnsi="Corbel"/>
          <w:sz w:val="21"/>
          <w:szCs w:val="21"/>
        </w:rPr>
      </w:pPr>
      <w:r w:rsidRPr="00025768">
        <w:rPr>
          <w:rFonts w:ascii="Corbel" w:hAnsi="Corbel" w:cs="Corbel"/>
          <w:b/>
          <w:smallCaps/>
          <w:sz w:val="21"/>
          <w:szCs w:val="21"/>
        </w:rPr>
        <w:t>SYLABUS</w:t>
      </w:r>
    </w:p>
    <w:p w:rsidR="00025768" w:rsidRPr="00025768" w:rsidRDefault="00025768" w:rsidP="00025768">
      <w:pPr>
        <w:spacing w:after="0" w:line="240" w:lineRule="auto"/>
        <w:jc w:val="center"/>
        <w:rPr>
          <w:rFonts w:ascii="Corbel" w:hAnsi="Corbel"/>
          <w:sz w:val="21"/>
          <w:szCs w:val="21"/>
        </w:rPr>
      </w:pPr>
      <w:r w:rsidRPr="00025768">
        <w:rPr>
          <w:rFonts w:ascii="Corbel" w:hAnsi="Corbel" w:cs="Corbel"/>
          <w:b/>
          <w:smallCaps/>
          <w:sz w:val="21"/>
          <w:szCs w:val="21"/>
        </w:rPr>
        <w:t xml:space="preserve">dotyczy cyklu kształcenia </w:t>
      </w:r>
      <w:r w:rsidRPr="00025768">
        <w:rPr>
          <w:rFonts w:ascii="Corbel" w:hAnsi="Corbel" w:cs="Corbel"/>
          <w:smallCaps/>
          <w:sz w:val="21"/>
          <w:szCs w:val="21"/>
        </w:rPr>
        <w:t>2018-2021</w:t>
      </w:r>
    </w:p>
    <w:p w:rsidR="00025768" w:rsidRPr="00025768" w:rsidRDefault="00025768" w:rsidP="00025768">
      <w:pPr>
        <w:spacing w:after="0" w:line="240" w:lineRule="auto"/>
        <w:rPr>
          <w:rFonts w:ascii="Corbel" w:hAnsi="Corbel" w:cs="Corbel"/>
          <w:sz w:val="21"/>
          <w:szCs w:val="21"/>
        </w:rPr>
      </w:pPr>
    </w:p>
    <w:p w:rsidR="00025768" w:rsidRPr="00025768" w:rsidRDefault="00025768" w:rsidP="00025768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025768">
        <w:rPr>
          <w:rFonts w:ascii="Corbel" w:hAnsi="Corbel" w:cs="Corbel"/>
          <w:sz w:val="21"/>
          <w:szCs w:val="21"/>
        </w:rPr>
        <w:t xml:space="preserve">1. PODSTAWOWE INFORMACJE O PRZEDMIOCIE/MODULE </w:t>
      </w:r>
    </w:p>
    <w:tbl>
      <w:tblPr>
        <w:tblW w:w="9151" w:type="dxa"/>
        <w:tblInd w:w="-84" w:type="dxa"/>
        <w:tblLayout w:type="fixed"/>
        <w:tblLook w:val="0000"/>
      </w:tblPr>
      <w:tblGrid>
        <w:gridCol w:w="2694"/>
        <w:gridCol w:w="6457"/>
      </w:tblGrid>
      <w:tr w:rsidR="00025768" w:rsidRPr="00025768" w:rsidTr="001C68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5768" w:rsidRPr="00025768" w:rsidRDefault="00025768" w:rsidP="001C6884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025768">
              <w:rPr>
                <w:rFonts w:ascii="Corbel" w:hAnsi="Corbel" w:cs="Corbel"/>
                <w:sz w:val="21"/>
                <w:szCs w:val="21"/>
              </w:rPr>
              <w:t>Nazwa przedmiotu/ modułu</w:t>
            </w:r>
          </w:p>
        </w:tc>
        <w:tc>
          <w:tcPr>
            <w:tcW w:w="6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5768" w:rsidRPr="00025768" w:rsidRDefault="00025768" w:rsidP="001C6884">
            <w:pPr>
              <w:pStyle w:val="Odpowiedzi"/>
              <w:spacing w:before="60" w:after="60"/>
              <w:rPr>
                <w:rFonts w:ascii="Corbel" w:hAnsi="Corbel"/>
                <w:color w:val="auto"/>
                <w:sz w:val="21"/>
                <w:szCs w:val="21"/>
              </w:rPr>
            </w:pPr>
            <w:r w:rsidRPr="00025768">
              <w:rPr>
                <w:rFonts w:ascii="Corbel" w:hAnsi="Corbel" w:cs="Corbel"/>
                <w:color w:val="auto"/>
                <w:sz w:val="21"/>
                <w:szCs w:val="21"/>
                <w:highlight w:val="white"/>
              </w:rPr>
              <w:t>Bankowość i ubezpieczenia</w:t>
            </w:r>
          </w:p>
        </w:tc>
      </w:tr>
      <w:tr w:rsidR="00025768" w:rsidRPr="00025768" w:rsidTr="001C68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5768" w:rsidRPr="00025768" w:rsidRDefault="00025768" w:rsidP="001C6884">
            <w:pPr>
              <w:pStyle w:val="Pytania"/>
              <w:spacing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025768">
              <w:rPr>
                <w:rFonts w:ascii="Corbel" w:hAnsi="Corbel" w:cs="Corbel"/>
                <w:sz w:val="21"/>
                <w:szCs w:val="21"/>
              </w:rPr>
              <w:t>Kod przedmiotu/ modułu*</w:t>
            </w:r>
          </w:p>
        </w:tc>
        <w:tc>
          <w:tcPr>
            <w:tcW w:w="6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5768" w:rsidRPr="00025768" w:rsidRDefault="00025768" w:rsidP="001C6884">
            <w:pPr>
              <w:pStyle w:val="Odpowiedzi"/>
              <w:spacing w:after="0"/>
              <w:rPr>
                <w:rFonts w:ascii="Corbel" w:hAnsi="Corbel"/>
                <w:color w:val="auto"/>
                <w:sz w:val="21"/>
                <w:szCs w:val="21"/>
              </w:rPr>
            </w:pPr>
            <w:r w:rsidRPr="00025768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FiR/I/B.5</w:t>
            </w:r>
          </w:p>
        </w:tc>
      </w:tr>
      <w:tr w:rsidR="00025768" w:rsidRPr="00025768" w:rsidTr="001C68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5768" w:rsidRPr="00025768" w:rsidRDefault="00025768" w:rsidP="001C6884">
            <w:pPr>
              <w:pStyle w:val="Pytania"/>
              <w:spacing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025768">
              <w:rPr>
                <w:rFonts w:ascii="Corbel" w:hAnsi="Corbel" w:cs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5768" w:rsidRPr="00025768" w:rsidRDefault="00025768" w:rsidP="001C6884">
            <w:pPr>
              <w:pStyle w:val="Odpowiedzi"/>
              <w:spacing w:after="0"/>
              <w:rPr>
                <w:rFonts w:ascii="Corbel" w:hAnsi="Corbel"/>
                <w:color w:val="auto"/>
                <w:sz w:val="21"/>
                <w:szCs w:val="21"/>
              </w:rPr>
            </w:pPr>
            <w:r w:rsidRPr="00025768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Wydział Ekonomii</w:t>
            </w:r>
          </w:p>
        </w:tc>
      </w:tr>
      <w:tr w:rsidR="00025768" w:rsidRPr="00025768" w:rsidTr="001C68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5768" w:rsidRPr="00025768" w:rsidRDefault="00025768" w:rsidP="001C6884">
            <w:pPr>
              <w:pStyle w:val="Pytania"/>
              <w:spacing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025768">
              <w:rPr>
                <w:rFonts w:ascii="Corbel" w:hAnsi="Corbel" w:cs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5768" w:rsidRPr="00025768" w:rsidRDefault="00025768" w:rsidP="001C6884">
            <w:pPr>
              <w:pStyle w:val="Odpowiedzi"/>
              <w:spacing w:after="0"/>
              <w:rPr>
                <w:rFonts w:ascii="Corbel" w:hAnsi="Corbel"/>
                <w:color w:val="auto"/>
                <w:sz w:val="21"/>
                <w:szCs w:val="21"/>
              </w:rPr>
            </w:pPr>
            <w:r w:rsidRPr="00025768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Katedra Rynków Finansowych i Finansów Publicznych</w:t>
            </w:r>
          </w:p>
        </w:tc>
      </w:tr>
      <w:tr w:rsidR="00025768" w:rsidRPr="00025768" w:rsidTr="001C68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5768" w:rsidRPr="00025768" w:rsidRDefault="00025768" w:rsidP="001C6884">
            <w:pPr>
              <w:pStyle w:val="Pytania"/>
              <w:spacing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025768">
              <w:rPr>
                <w:rFonts w:ascii="Corbel" w:hAnsi="Corbel" w:cs="Corbel"/>
                <w:sz w:val="21"/>
                <w:szCs w:val="21"/>
              </w:rPr>
              <w:t>Kierunek studiów</w:t>
            </w:r>
          </w:p>
        </w:tc>
        <w:tc>
          <w:tcPr>
            <w:tcW w:w="6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5768" w:rsidRPr="00025768" w:rsidRDefault="00025768" w:rsidP="001C6884">
            <w:pPr>
              <w:pStyle w:val="Odpowiedzi"/>
              <w:spacing w:after="0"/>
              <w:rPr>
                <w:rFonts w:ascii="Corbel" w:hAnsi="Corbel"/>
                <w:color w:val="auto"/>
                <w:sz w:val="21"/>
                <w:szCs w:val="21"/>
              </w:rPr>
            </w:pPr>
            <w:r w:rsidRPr="00025768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Finanse i rachunkowość</w:t>
            </w:r>
          </w:p>
        </w:tc>
      </w:tr>
      <w:tr w:rsidR="00025768" w:rsidRPr="00025768" w:rsidTr="001C68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5768" w:rsidRPr="00025768" w:rsidRDefault="00025768" w:rsidP="001C6884">
            <w:pPr>
              <w:pStyle w:val="Pytania"/>
              <w:spacing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025768">
              <w:rPr>
                <w:rFonts w:ascii="Corbel" w:hAnsi="Corbel" w:cs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5768" w:rsidRPr="00025768" w:rsidRDefault="00025768" w:rsidP="001C6884">
            <w:pPr>
              <w:pStyle w:val="Odpowiedzi"/>
              <w:spacing w:after="0"/>
              <w:rPr>
                <w:rFonts w:ascii="Corbel" w:hAnsi="Corbel"/>
                <w:color w:val="auto"/>
                <w:sz w:val="21"/>
                <w:szCs w:val="21"/>
              </w:rPr>
            </w:pPr>
            <w:r w:rsidRPr="00025768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I stopień</w:t>
            </w:r>
          </w:p>
        </w:tc>
      </w:tr>
      <w:tr w:rsidR="00025768" w:rsidRPr="00025768" w:rsidTr="001C68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5768" w:rsidRPr="00025768" w:rsidRDefault="00025768" w:rsidP="001C6884">
            <w:pPr>
              <w:pStyle w:val="Pytania"/>
              <w:spacing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025768">
              <w:rPr>
                <w:rFonts w:ascii="Corbel" w:hAnsi="Corbel" w:cs="Corbel"/>
                <w:sz w:val="21"/>
                <w:szCs w:val="21"/>
              </w:rPr>
              <w:t>Profil</w:t>
            </w:r>
          </w:p>
        </w:tc>
        <w:tc>
          <w:tcPr>
            <w:tcW w:w="6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5768" w:rsidRPr="00025768" w:rsidRDefault="00025768" w:rsidP="001C6884">
            <w:pPr>
              <w:pStyle w:val="Odpowiedzi"/>
              <w:spacing w:after="0"/>
              <w:rPr>
                <w:rFonts w:ascii="Corbel" w:hAnsi="Corbel"/>
                <w:color w:val="auto"/>
                <w:sz w:val="21"/>
                <w:szCs w:val="21"/>
              </w:rPr>
            </w:pPr>
            <w:r w:rsidRPr="00025768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 xml:space="preserve">ogólnoakademicki </w:t>
            </w:r>
          </w:p>
        </w:tc>
      </w:tr>
      <w:tr w:rsidR="00025768" w:rsidRPr="00025768" w:rsidTr="001C68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5768" w:rsidRPr="00025768" w:rsidRDefault="00025768" w:rsidP="001C6884">
            <w:pPr>
              <w:pStyle w:val="Pytania"/>
              <w:spacing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025768">
              <w:rPr>
                <w:rFonts w:ascii="Corbel" w:hAnsi="Corbel" w:cs="Corbel"/>
                <w:sz w:val="21"/>
                <w:szCs w:val="21"/>
              </w:rPr>
              <w:t>Forma studiów</w:t>
            </w:r>
          </w:p>
        </w:tc>
        <w:tc>
          <w:tcPr>
            <w:tcW w:w="6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5768" w:rsidRPr="00025768" w:rsidRDefault="00025768" w:rsidP="001C6884">
            <w:pPr>
              <w:pStyle w:val="Odpowiedzi"/>
              <w:spacing w:after="0"/>
              <w:rPr>
                <w:rFonts w:ascii="Corbel" w:hAnsi="Corbel"/>
                <w:color w:val="auto"/>
                <w:sz w:val="21"/>
                <w:szCs w:val="21"/>
              </w:rPr>
            </w:pPr>
            <w:r w:rsidRPr="00025768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 xml:space="preserve">stacjonarne </w:t>
            </w:r>
          </w:p>
        </w:tc>
      </w:tr>
      <w:tr w:rsidR="00025768" w:rsidRPr="00025768" w:rsidTr="001C68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5768" w:rsidRPr="00025768" w:rsidRDefault="00025768" w:rsidP="001C6884">
            <w:pPr>
              <w:pStyle w:val="Pytania"/>
              <w:spacing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025768">
              <w:rPr>
                <w:rFonts w:ascii="Corbel" w:hAnsi="Corbel" w:cs="Corbel"/>
                <w:sz w:val="21"/>
                <w:szCs w:val="21"/>
              </w:rPr>
              <w:t>Rok i semestr studiów</w:t>
            </w:r>
          </w:p>
        </w:tc>
        <w:tc>
          <w:tcPr>
            <w:tcW w:w="6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5768" w:rsidRPr="00025768" w:rsidRDefault="00025768" w:rsidP="001C6884">
            <w:pPr>
              <w:pStyle w:val="Odpowiedzi"/>
              <w:spacing w:after="0"/>
              <w:rPr>
                <w:rFonts w:ascii="Corbel" w:hAnsi="Corbel"/>
                <w:color w:val="auto"/>
                <w:sz w:val="21"/>
                <w:szCs w:val="21"/>
              </w:rPr>
            </w:pPr>
            <w:r w:rsidRPr="00025768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II/3</w:t>
            </w:r>
          </w:p>
        </w:tc>
      </w:tr>
      <w:tr w:rsidR="00025768" w:rsidRPr="00025768" w:rsidTr="001C68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5768" w:rsidRPr="00025768" w:rsidRDefault="00025768" w:rsidP="001C6884">
            <w:pPr>
              <w:pStyle w:val="Pytania"/>
              <w:spacing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025768">
              <w:rPr>
                <w:rFonts w:ascii="Corbel" w:hAnsi="Corbel" w:cs="Corbel"/>
                <w:sz w:val="21"/>
                <w:szCs w:val="21"/>
              </w:rPr>
              <w:t>Rodzaj przedmiotu</w:t>
            </w:r>
          </w:p>
        </w:tc>
        <w:tc>
          <w:tcPr>
            <w:tcW w:w="6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5768" w:rsidRPr="00025768" w:rsidRDefault="00025768" w:rsidP="001C6884">
            <w:pPr>
              <w:pStyle w:val="Odpowiedzi"/>
              <w:spacing w:after="0"/>
              <w:rPr>
                <w:rFonts w:ascii="Corbel" w:hAnsi="Corbel"/>
                <w:color w:val="auto"/>
                <w:sz w:val="21"/>
                <w:szCs w:val="21"/>
              </w:rPr>
            </w:pPr>
            <w:r w:rsidRPr="00025768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kierunkowy</w:t>
            </w:r>
          </w:p>
        </w:tc>
      </w:tr>
      <w:tr w:rsidR="00025768" w:rsidRPr="00025768" w:rsidTr="001C68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5768" w:rsidRPr="00025768" w:rsidRDefault="00025768" w:rsidP="001C6884">
            <w:pPr>
              <w:pStyle w:val="Pytania"/>
              <w:spacing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025768">
              <w:rPr>
                <w:rFonts w:ascii="Corbel" w:hAnsi="Corbel" w:cs="Corbel"/>
                <w:sz w:val="21"/>
                <w:szCs w:val="21"/>
              </w:rPr>
              <w:t>Język wykładowy</w:t>
            </w:r>
          </w:p>
        </w:tc>
        <w:tc>
          <w:tcPr>
            <w:tcW w:w="6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5768" w:rsidRPr="00025768" w:rsidRDefault="00025768" w:rsidP="001C6884">
            <w:pPr>
              <w:pStyle w:val="Odpowiedzi"/>
              <w:spacing w:after="0"/>
              <w:rPr>
                <w:rFonts w:ascii="Corbel" w:hAnsi="Corbel"/>
                <w:color w:val="auto"/>
                <w:sz w:val="21"/>
                <w:szCs w:val="21"/>
              </w:rPr>
            </w:pPr>
            <w:r w:rsidRPr="00025768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 xml:space="preserve">polski </w:t>
            </w:r>
          </w:p>
        </w:tc>
      </w:tr>
      <w:tr w:rsidR="00025768" w:rsidRPr="00025768" w:rsidTr="001C68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5768" w:rsidRPr="00025768" w:rsidRDefault="00025768" w:rsidP="001C6884">
            <w:pPr>
              <w:pStyle w:val="Pytania"/>
              <w:spacing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025768">
              <w:rPr>
                <w:rFonts w:ascii="Corbel" w:hAnsi="Corbel" w:cs="Corbel"/>
                <w:sz w:val="21"/>
                <w:szCs w:val="21"/>
              </w:rPr>
              <w:t>Koordynator</w:t>
            </w:r>
          </w:p>
        </w:tc>
        <w:tc>
          <w:tcPr>
            <w:tcW w:w="6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5768" w:rsidRPr="00025768" w:rsidRDefault="00025768" w:rsidP="001C6884">
            <w:pPr>
              <w:pStyle w:val="Odpowiedzi"/>
              <w:snapToGrid w:val="0"/>
              <w:spacing w:after="0"/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</w:pPr>
            <w:r w:rsidRPr="00025768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dr hab. Antoni Magdoń, prof. UR</w:t>
            </w:r>
          </w:p>
        </w:tc>
      </w:tr>
      <w:tr w:rsidR="00025768" w:rsidRPr="00025768" w:rsidTr="001C688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5768" w:rsidRPr="00025768" w:rsidRDefault="00025768" w:rsidP="001C6884">
            <w:pPr>
              <w:pStyle w:val="Pytania"/>
              <w:spacing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025768">
              <w:rPr>
                <w:rFonts w:ascii="Corbel" w:hAnsi="Corbel" w:cs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5768" w:rsidRPr="00025768" w:rsidRDefault="00025768" w:rsidP="001C6884">
            <w:pPr>
              <w:pStyle w:val="Odpowiedzi"/>
              <w:snapToGrid w:val="0"/>
              <w:spacing w:after="0"/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</w:pPr>
            <w:r w:rsidRPr="00025768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dr hab. Antoni Magdoń, prof. UR</w:t>
            </w:r>
          </w:p>
        </w:tc>
      </w:tr>
    </w:tbl>
    <w:p w:rsidR="00025768" w:rsidRPr="009E7CFD" w:rsidRDefault="00025768" w:rsidP="00025768">
      <w:pPr>
        <w:pStyle w:val="Podpunkty"/>
        <w:spacing w:after="280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 w:cs="Corbel"/>
          <w:sz w:val="21"/>
          <w:szCs w:val="21"/>
        </w:rPr>
        <w:t xml:space="preserve">* </w:t>
      </w:r>
      <w:r w:rsidRPr="009E7CFD">
        <w:rPr>
          <w:rFonts w:ascii="Corbel" w:hAnsi="Corbel" w:cs="Corbel"/>
          <w:i/>
          <w:sz w:val="21"/>
          <w:szCs w:val="21"/>
        </w:rPr>
        <w:t xml:space="preserve">- </w:t>
      </w:r>
      <w:r w:rsidRPr="009E7CFD">
        <w:rPr>
          <w:rFonts w:ascii="Corbel" w:hAnsi="Corbel" w:cs="Corbel"/>
          <w:b w:val="0"/>
          <w:i/>
          <w:sz w:val="21"/>
          <w:szCs w:val="21"/>
        </w:rPr>
        <w:t>zgodnie z ustaleniami na Wydziale</w:t>
      </w:r>
    </w:p>
    <w:p w:rsidR="00025768" w:rsidRPr="009E7CFD" w:rsidRDefault="00025768" w:rsidP="00025768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 w:cs="Corbel"/>
          <w:sz w:val="21"/>
          <w:szCs w:val="21"/>
        </w:rPr>
        <w:t xml:space="preserve">1.1.Formy zajęć dydaktycznych, wymiar godzin i punktów ECTS </w:t>
      </w:r>
    </w:p>
    <w:tbl>
      <w:tblPr>
        <w:tblW w:w="9117" w:type="dxa"/>
        <w:tblInd w:w="-50" w:type="dxa"/>
        <w:tblLayout w:type="fixed"/>
        <w:tblLook w:val="000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915"/>
      </w:tblGrid>
      <w:tr w:rsidR="00025768" w:rsidRPr="009E7CFD" w:rsidTr="001C6884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  <w:lang w:eastAsia="en-US"/>
              </w:rPr>
              <w:t>Semestr</w:t>
            </w:r>
          </w:p>
          <w:p w:rsidR="00025768" w:rsidRPr="009E7CFD" w:rsidRDefault="00025768" w:rsidP="001C688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5768" w:rsidRPr="009E7CFD" w:rsidRDefault="00025768" w:rsidP="001C688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  <w:lang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5768" w:rsidRPr="009E7CFD" w:rsidRDefault="00025768" w:rsidP="001C688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5768" w:rsidRPr="009E7CFD" w:rsidRDefault="00025768" w:rsidP="001C688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  <w:lang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5768" w:rsidRPr="009E7CFD" w:rsidRDefault="00025768" w:rsidP="001C688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5768" w:rsidRPr="009E7CFD" w:rsidRDefault="00025768" w:rsidP="001C688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  <w:lang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5768" w:rsidRPr="009E7CFD" w:rsidRDefault="00025768" w:rsidP="001C688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5768" w:rsidRPr="009E7CFD" w:rsidRDefault="00025768" w:rsidP="001C688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  <w:lang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5768" w:rsidRPr="009E7CFD" w:rsidRDefault="00025768" w:rsidP="001C688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5768" w:rsidRPr="009E7CFD" w:rsidRDefault="00025768" w:rsidP="001C688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025768" w:rsidRPr="009E7CFD" w:rsidTr="001C6884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5768" w:rsidRPr="009E7CFD" w:rsidRDefault="00025768" w:rsidP="001C688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3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5768" w:rsidRPr="009E7CFD" w:rsidRDefault="00025768" w:rsidP="001C688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5768" w:rsidRPr="009E7CFD" w:rsidRDefault="00025768" w:rsidP="001C688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5768" w:rsidRPr="009E7CFD" w:rsidRDefault="00025768" w:rsidP="001C6884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5768" w:rsidRPr="009E7CFD" w:rsidRDefault="00025768" w:rsidP="001C6884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5768" w:rsidRPr="009E7CFD" w:rsidRDefault="00025768" w:rsidP="001C6884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5768" w:rsidRPr="009E7CFD" w:rsidRDefault="00025768" w:rsidP="001C6884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5768" w:rsidRPr="009E7CFD" w:rsidRDefault="00025768" w:rsidP="001C6884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5768" w:rsidRPr="009E7CFD" w:rsidRDefault="00025768" w:rsidP="001C6884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5768" w:rsidRPr="009E7CFD" w:rsidRDefault="00025768" w:rsidP="001C688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  <w:highlight w:val="white"/>
              </w:rPr>
              <w:t>3</w:t>
            </w:r>
          </w:p>
        </w:tc>
      </w:tr>
    </w:tbl>
    <w:p w:rsidR="00025768" w:rsidRPr="009E7CFD" w:rsidRDefault="00025768" w:rsidP="00025768">
      <w:pPr>
        <w:pStyle w:val="Podpunkty"/>
        <w:ind w:left="0"/>
        <w:rPr>
          <w:rFonts w:ascii="Corbel" w:hAnsi="Corbel" w:cs="Corbel"/>
          <w:b w:val="0"/>
          <w:sz w:val="21"/>
          <w:szCs w:val="21"/>
          <w:lang w:eastAsia="en-US"/>
        </w:rPr>
      </w:pPr>
    </w:p>
    <w:p w:rsidR="00025768" w:rsidRPr="009E7CFD" w:rsidRDefault="00025768" w:rsidP="00025768">
      <w:pPr>
        <w:pStyle w:val="Punktygwne"/>
        <w:spacing w:before="0" w:after="0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 xml:space="preserve">1.2.  Sposób realizacji zajęć  </w:t>
      </w:r>
    </w:p>
    <w:p w:rsidR="00025768" w:rsidRPr="009E7CFD" w:rsidRDefault="00025768" w:rsidP="00025768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eastAsia="MS Gothic" w:hAnsi="Corbel" w:cs="Corbel"/>
          <w:sz w:val="21"/>
          <w:szCs w:val="21"/>
        </w:rPr>
        <w:t>x</w:t>
      </w:r>
      <w:r w:rsidRPr="009E7CFD">
        <w:rPr>
          <w:rFonts w:ascii="Corbel" w:hAnsi="Corbel" w:cs="Corbel"/>
          <w:b w:val="0"/>
          <w:smallCaps w:val="0"/>
          <w:sz w:val="21"/>
          <w:szCs w:val="21"/>
        </w:rPr>
        <w:t xml:space="preserve">  zajęcia w formie tradycyjnej </w:t>
      </w:r>
    </w:p>
    <w:p w:rsidR="00025768" w:rsidRPr="009E7CFD" w:rsidRDefault="00025768" w:rsidP="00025768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 w:cs="Corbel"/>
          <w:b w:val="0"/>
          <w:smallCaps w:val="0"/>
          <w:sz w:val="21"/>
          <w:szCs w:val="21"/>
        </w:rPr>
        <w:t>zajęcia realizowane z wykorzystaniem metod i technik kształcenia na odległość</w:t>
      </w:r>
    </w:p>
    <w:p w:rsidR="00025768" w:rsidRPr="009E7CFD" w:rsidRDefault="00025768" w:rsidP="00025768">
      <w:pPr>
        <w:pStyle w:val="Punktygwne"/>
        <w:spacing w:before="0" w:after="0"/>
        <w:rPr>
          <w:rFonts w:ascii="Corbel" w:hAnsi="Corbel" w:cs="Corbel"/>
          <w:b w:val="0"/>
          <w:smallCaps w:val="0"/>
          <w:sz w:val="21"/>
          <w:szCs w:val="21"/>
        </w:rPr>
      </w:pPr>
    </w:p>
    <w:p w:rsidR="00025768" w:rsidRPr="009E7CFD" w:rsidRDefault="00025768" w:rsidP="00025768">
      <w:pPr>
        <w:pStyle w:val="Punktygwne"/>
        <w:spacing w:before="0" w:after="0"/>
        <w:ind w:left="284"/>
        <w:rPr>
          <w:rFonts w:ascii="Corbel" w:hAnsi="Corbel" w:cs="Corbel"/>
          <w:b w:val="0"/>
          <w:smallCaps w:val="0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>1.3 Forma zaliczenia przedmiotu /modułu (z toku</w:t>
      </w:r>
      <w:r w:rsidRPr="009E7CFD">
        <w:rPr>
          <w:rFonts w:ascii="Corbel" w:hAnsi="Corbel" w:cs="Corbel"/>
          <w:b w:val="0"/>
          <w:smallCaps w:val="0"/>
          <w:sz w:val="21"/>
          <w:szCs w:val="21"/>
        </w:rPr>
        <w:t>) (egzamin, zaliczenie z oceną, zaliczenie bez oceny)</w:t>
      </w:r>
    </w:p>
    <w:p w:rsidR="00025768" w:rsidRPr="009E7CFD" w:rsidRDefault="00025768" w:rsidP="00025768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 w:cs="Corbel"/>
          <w:b w:val="0"/>
          <w:smallCaps w:val="0"/>
          <w:sz w:val="21"/>
          <w:szCs w:val="21"/>
        </w:rPr>
        <w:t>egzamin</w:t>
      </w:r>
    </w:p>
    <w:p w:rsidR="00025768" w:rsidRPr="009E7CFD" w:rsidRDefault="00025768" w:rsidP="00025768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</w:p>
    <w:p w:rsidR="00025768" w:rsidRPr="009E7CFD" w:rsidRDefault="00025768" w:rsidP="00025768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 w:cs="Corbel"/>
          <w:sz w:val="21"/>
          <w:szCs w:val="21"/>
        </w:rPr>
        <w:t xml:space="preserve">2.WYMAGANIA WSTĘPNE </w:t>
      </w:r>
    </w:p>
    <w:tbl>
      <w:tblPr>
        <w:tblW w:w="8959" w:type="dxa"/>
        <w:tblInd w:w="108" w:type="dxa"/>
        <w:tblLayout w:type="fixed"/>
        <w:tblLook w:val="0000"/>
      </w:tblPr>
      <w:tblGrid>
        <w:gridCol w:w="8959"/>
      </w:tblGrid>
      <w:tr w:rsidR="00025768" w:rsidRPr="009E7CFD" w:rsidTr="001C6884"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Punktygwne"/>
              <w:spacing w:before="40" w:after="4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 xml:space="preserve">znajomość ekonomii, wiedza na temat polityki gospodarczej, ogólna znajomość funkcjonowania bankowości oraz ubezpieczeń  </w:t>
            </w:r>
          </w:p>
        </w:tc>
      </w:tr>
    </w:tbl>
    <w:p w:rsidR="00025768" w:rsidRPr="009E7CFD" w:rsidRDefault="00025768" w:rsidP="00025768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 w:cs="Corbel"/>
          <w:sz w:val="21"/>
          <w:szCs w:val="21"/>
        </w:rPr>
        <w:t>3. cele, efekty kształcenia , treści Programowe i stosowane metody Dydaktyczne</w:t>
      </w:r>
    </w:p>
    <w:p w:rsidR="00025768" w:rsidRPr="009E7CFD" w:rsidRDefault="00025768" w:rsidP="00025768">
      <w:pPr>
        <w:pStyle w:val="Podpunkty"/>
        <w:rPr>
          <w:rFonts w:ascii="Corbel" w:hAnsi="Corbel"/>
          <w:sz w:val="21"/>
          <w:szCs w:val="21"/>
        </w:rPr>
      </w:pPr>
      <w:r w:rsidRPr="009E7CFD">
        <w:rPr>
          <w:rFonts w:ascii="Corbel" w:hAnsi="Corbel" w:cs="Corbel"/>
          <w:b w:val="0"/>
          <w:i/>
          <w:sz w:val="21"/>
          <w:szCs w:val="21"/>
        </w:rPr>
        <w:t xml:space="preserve">3.1 Cele przedmiotu/modułu </w:t>
      </w:r>
    </w:p>
    <w:tbl>
      <w:tblPr>
        <w:tblW w:w="8959" w:type="dxa"/>
        <w:tblInd w:w="108" w:type="dxa"/>
        <w:tblLayout w:type="fixed"/>
        <w:tblLook w:val="0000"/>
      </w:tblPr>
      <w:tblGrid>
        <w:gridCol w:w="851"/>
        <w:gridCol w:w="8108"/>
      </w:tblGrid>
      <w:tr w:rsidR="00025768" w:rsidRPr="009E7CFD" w:rsidTr="001C688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5768" w:rsidRPr="009E7CFD" w:rsidRDefault="00025768" w:rsidP="001C688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5768" w:rsidRPr="009E7CFD" w:rsidRDefault="00025768" w:rsidP="001C688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 xml:space="preserve">Przedstawienie banku jako przedsiębiorstwa prowadzącego szczególną działalność gospodarczą, związaną z pośrednictwem finansowym </w:t>
            </w:r>
          </w:p>
        </w:tc>
      </w:tr>
      <w:tr w:rsidR="00025768" w:rsidRPr="009E7CFD" w:rsidTr="001C688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5768" w:rsidRPr="009E7CFD" w:rsidRDefault="00025768" w:rsidP="001C688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C2</w:t>
            </w: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5768" w:rsidRPr="009E7CFD" w:rsidRDefault="00025768" w:rsidP="001C688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Zaprezentowanie uwarunkowań czyniących bank instytucją zaufania publicznego</w:t>
            </w:r>
          </w:p>
        </w:tc>
      </w:tr>
      <w:tr w:rsidR="00025768" w:rsidRPr="009E7CFD" w:rsidTr="001C688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5768" w:rsidRPr="009E7CFD" w:rsidRDefault="00025768" w:rsidP="001C688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C3</w:t>
            </w: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5768" w:rsidRPr="009E7CFD" w:rsidRDefault="00025768" w:rsidP="001C688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Przedstawienie zakresu istoty ubezpieczenia, charakteru ryzyk objętych ubezpieczeniem</w:t>
            </w:r>
          </w:p>
        </w:tc>
      </w:tr>
      <w:tr w:rsidR="00025768" w:rsidRPr="009E7CFD" w:rsidTr="001C688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5768" w:rsidRPr="009E7CFD" w:rsidRDefault="00025768" w:rsidP="001C688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C4</w:t>
            </w: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5768" w:rsidRPr="009E7CFD" w:rsidRDefault="00025768" w:rsidP="001C688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Zaprezentowanie zasad funkcjonowania ubezpieczycieli oraz struktury i zasad rynku</w:t>
            </w:r>
          </w:p>
          <w:p w:rsidR="00025768" w:rsidRPr="009E7CFD" w:rsidRDefault="00025768" w:rsidP="001C688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ubezpieczeń</w:t>
            </w:r>
          </w:p>
        </w:tc>
      </w:tr>
    </w:tbl>
    <w:p w:rsidR="00025768" w:rsidRPr="009E7CFD" w:rsidRDefault="00025768" w:rsidP="00025768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 w:val="21"/>
          <w:szCs w:val="21"/>
        </w:rPr>
      </w:pPr>
    </w:p>
    <w:p w:rsidR="00025768" w:rsidRPr="009E7CFD" w:rsidRDefault="00025768" w:rsidP="00025768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 w:cs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 w:cs="Corbel"/>
          <w:sz w:val="21"/>
          <w:szCs w:val="21"/>
        </w:rPr>
        <w:t xml:space="preserve"> (</w:t>
      </w:r>
      <w:r w:rsidRPr="009E7CFD">
        <w:rPr>
          <w:rFonts w:ascii="Corbel" w:hAnsi="Corbel" w:cs="Corbel"/>
          <w:i/>
          <w:sz w:val="21"/>
          <w:szCs w:val="21"/>
        </w:rPr>
        <w:t>wypełnia koordynator</w:t>
      </w:r>
      <w:r w:rsidRPr="009E7CFD">
        <w:rPr>
          <w:rFonts w:ascii="Corbel" w:hAnsi="Corbel" w:cs="Corbel"/>
          <w:sz w:val="21"/>
          <w:szCs w:val="21"/>
        </w:rPr>
        <w:t>)</w:t>
      </w:r>
    </w:p>
    <w:tbl>
      <w:tblPr>
        <w:tblW w:w="9214" w:type="dxa"/>
        <w:tblInd w:w="108" w:type="dxa"/>
        <w:tblLayout w:type="fixed"/>
        <w:tblLook w:val="0000"/>
      </w:tblPr>
      <w:tblGrid>
        <w:gridCol w:w="1701"/>
        <w:gridCol w:w="6096"/>
        <w:gridCol w:w="1417"/>
      </w:tblGrid>
      <w:tr w:rsidR="00025768" w:rsidRPr="009E7CFD" w:rsidTr="001C6884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5768" w:rsidRPr="009E7CFD" w:rsidRDefault="00025768" w:rsidP="001C6884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5768" w:rsidRPr="009E7CFD" w:rsidRDefault="00025768" w:rsidP="001C6884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5768" w:rsidRPr="009E7CFD" w:rsidRDefault="00025768" w:rsidP="001C6884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 w:cs="Corbel"/>
                <w:smallCaps w:val="0"/>
                <w:sz w:val="21"/>
                <w:szCs w:val="21"/>
              </w:rPr>
              <w:t>(KEK)</w:t>
            </w:r>
          </w:p>
        </w:tc>
      </w:tr>
      <w:tr w:rsidR="00025768" w:rsidRPr="009E7CFD" w:rsidTr="001C6884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Zna i rozumie istotę funkcjonowania, banków i instytucji ubezpieczeniowych, a także zasady funkcjonowania rynku pieniężnego i ubezpieczeniowego oraz związki między sferą finansów i ubezpieczeń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Default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color w:val="auto"/>
                <w:sz w:val="21"/>
                <w:szCs w:val="21"/>
              </w:rPr>
              <w:t>K_W10</w:t>
            </w:r>
          </w:p>
          <w:p w:rsidR="00025768" w:rsidRPr="009E7CFD" w:rsidRDefault="00025768" w:rsidP="001C6884">
            <w:pPr>
              <w:pStyle w:val="Default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color w:val="auto"/>
                <w:sz w:val="21"/>
                <w:szCs w:val="21"/>
              </w:rPr>
              <w:t>K_W09</w:t>
            </w:r>
          </w:p>
          <w:p w:rsidR="00025768" w:rsidRPr="009E7CFD" w:rsidRDefault="00025768" w:rsidP="001C6884">
            <w:pPr>
              <w:pStyle w:val="Default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color w:val="auto"/>
                <w:sz w:val="21"/>
                <w:szCs w:val="21"/>
              </w:rPr>
              <w:t>K_W01</w:t>
            </w:r>
          </w:p>
        </w:tc>
      </w:tr>
      <w:tr w:rsidR="00025768" w:rsidRPr="009E7CFD" w:rsidTr="001C6884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Potrafi wykorzystywać podstawową wiedzę teoretyczną z zakresu finansów i ubezpieczeń, identyfikować i interpretować relacje miedzy rynkiem usług bankowych i ubezpieczeniowych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Default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color w:val="auto"/>
                <w:sz w:val="21"/>
                <w:szCs w:val="21"/>
              </w:rPr>
              <w:t>K_U01</w:t>
            </w:r>
          </w:p>
          <w:p w:rsidR="00025768" w:rsidRPr="009E7CFD" w:rsidRDefault="00025768" w:rsidP="001C6884">
            <w:pPr>
              <w:pStyle w:val="Default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color w:val="auto"/>
                <w:sz w:val="21"/>
                <w:szCs w:val="21"/>
              </w:rPr>
              <w:t>K_U02</w:t>
            </w:r>
          </w:p>
          <w:p w:rsidR="00025768" w:rsidRPr="009E7CFD" w:rsidRDefault="00025768" w:rsidP="001C6884">
            <w:pPr>
              <w:pStyle w:val="Default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color w:val="auto"/>
                <w:sz w:val="21"/>
                <w:szCs w:val="21"/>
              </w:rPr>
              <w:t>K_U03</w:t>
            </w:r>
          </w:p>
        </w:tc>
      </w:tr>
      <w:tr w:rsidR="00025768" w:rsidRPr="009E7CFD" w:rsidTr="001C6884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Jest gotów do uznawania znaczenia wiedzy z zakresu bankowości i ubezpieczeń w rozwiązywaniu problemów poznawczych i praktycznych, myślenia i działania w sposób przedsiębiorczy przejawiającego się w akceptowaniu potrzeby aktywnej postawy wobec zmian zachodzących w sferze bankowości i ubezpieczeń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Default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color w:val="auto"/>
                <w:sz w:val="21"/>
                <w:szCs w:val="21"/>
              </w:rPr>
              <w:t>K_K01</w:t>
            </w:r>
          </w:p>
          <w:p w:rsidR="00025768" w:rsidRPr="009E7CFD" w:rsidRDefault="00025768" w:rsidP="001C6884">
            <w:pPr>
              <w:pStyle w:val="Default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color w:val="auto"/>
                <w:sz w:val="21"/>
                <w:szCs w:val="21"/>
              </w:rPr>
              <w:t>K_K02</w:t>
            </w:r>
          </w:p>
          <w:p w:rsidR="00025768" w:rsidRPr="009E7CFD" w:rsidRDefault="00025768" w:rsidP="001C6884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K_K04</w:t>
            </w:r>
          </w:p>
        </w:tc>
      </w:tr>
    </w:tbl>
    <w:p w:rsidR="00025768" w:rsidRPr="009E7CFD" w:rsidRDefault="00025768" w:rsidP="00025768">
      <w:pPr>
        <w:pStyle w:val="Punktygwne"/>
        <w:spacing w:before="0" w:after="0"/>
        <w:rPr>
          <w:rFonts w:ascii="Corbel" w:hAnsi="Corbel" w:cs="Corbel"/>
          <w:b w:val="0"/>
          <w:sz w:val="21"/>
          <w:szCs w:val="21"/>
        </w:rPr>
      </w:pPr>
    </w:p>
    <w:p w:rsidR="00025768" w:rsidRPr="009E7CFD" w:rsidRDefault="00025768" w:rsidP="00025768">
      <w:pPr>
        <w:pStyle w:val="Akapitzlist"/>
        <w:spacing w:line="240" w:lineRule="auto"/>
        <w:ind w:left="426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 w:cs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 w:cs="Corbel"/>
          <w:sz w:val="21"/>
          <w:szCs w:val="21"/>
        </w:rPr>
        <w:t>(</w:t>
      </w:r>
      <w:r w:rsidRPr="009E7CFD">
        <w:rPr>
          <w:rFonts w:ascii="Corbel" w:hAnsi="Corbel" w:cs="Corbel"/>
          <w:i/>
          <w:sz w:val="21"/>
          <w:szCs w:val="21"/>
        </w:rPr>
        <w:t>wypełnia koordynator)</w:t>
      </w:r>
    </w:p>
    <w:p w:rsidR="00025768" w:rsidRPr="009E7CFD" w:rsidRDefault="00025768" w:rsidP="00025768">
      <w:pPr>
        <w:pStyle w:val="Akapitzlist"/>
        <w:numPr>
          <w:ilvl w:val="0"/>
          <w:numId w:val="2"/>
        </w:numPr>
        <w:suppressAutoHyphens/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 w:cs="Corbel"/>
          <w:sz w:val="21"/>
          <w:szCs w:val="21"/>
        </w:rPr>
        <w:t xml:space="preserve">Problematyka wykładu </w:t>
      </w:r>
    </w:p>
    <w:tbl>
      <w:tblPr>
        <w:tblW w:w="9214" w:type="dxa"/>
        <w:tblInd w:w="108" w:type="dxa"/>
        <w:tblLayout w:type="fixed"/>
        <w:tblLook w:val="0000"/>
      </w:tblPr>
      <w:tblGrid>
        <w:gridCol w:w="9214"/>
      </w:tblGrid>
      <w:tr w:rsidR="00025768" w:rsidRPr="009E7CFD" w:rsidTr="001C6884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Treści merytoryczne</w:t>
            </w:r>
          </w:p>
        </w:tc>
      </w:tr>
      <w:tr w:rsidR="00025768" w:rsidRPr="009E7CFD" w:rsidTr="001C6884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Bank jako przedsiębiorstwo </w:t>
            </w:r>
          </w:p>
        </w:tc>
      </w:tr>
      <w:tr w:rsidR="00025768" w:rsidRPr="009E7CFD" w:rsidTr="001C6884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Istota, struktura i podmioty systemu bankowego </w:t>
            </w:r>
          </w:p>
          <w:p w:rsidR="00025768" w:rsidRPr="009E7CFD" w:rsidRDefault="00025768" w:rsidP="001C688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Działalność kredytowa banku </w:t>
            </w:r>
          </w:p>
        </w:tc>
      </w:tr>
      <w:tr w:rsidR="00025768" w:rsidRPr="009E7CFD" w:rsidTr="001C6884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Ryzyko w działalności banku</w:t>
            </w:r>
          </w:p>
        </w:tc>
      </w:tr>
      <w:tr w:rsidR="00025768" w:rsidRPr="009E7CFD" w:rsidTr="001C6884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Bankowość elektroniczna </w:t>
            </w:r>
          </w:p>
        </w:tc>
      </w:tr>
      <w:tr w:rsidR="00025768" w:rsidRPr="009E7CFD" w:rsidTr="001C6884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Banki Spółdzielcze i SKOK </w:t>
            </w:r>
          </w:p>
        </w:tc>
      </w:tr>
      <w:tr w:rsidR="00025768" w:rsidRPr="009E7CFD" w:rsidTr="001C6884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System ochrony depozytów w Polsce </w:t>
            </w:r>
          </w:p>
        </w:tc>
      </w:tr>
      <w:tr w:rsidR="00025768" w:rsidRPr="009E7CFD" w:rsidTr="001C6884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NBP - cel, zadania, funkcje, struktura organizacyjna </w:t>
            </w:r>
          </w:p>
        </w:tc>
      </w:tr>
      <w:tr w:rsidR="00025768" w:rsidRPr="009E7CFD" w:rsidTr="001C6884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Ryzyko w działalności gospodarczej. Risk management</w:t>
            </w:r>
          </w:p>
        </w:tc>
      </w:tr>
      <w:tr w:rsidR="00025768" w:rsidRPr="009E7CFD" w:rsidTr="001C6884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Klasyfikacje ubezpieczeń</w:t>
            </w:r>
          </w:p>
        </w:tc>
      </w:tr>
      <w:tr w:rsidR="00025768" w:rsidRPr="009E7CFD" w:rsidTr="001C6884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Funkcjonowanie rynku ubezpieczeń</w:t>
            </w:r>
          </w:p>
        </w:tc>
      </w:tr>
      <w:tr w:rsidR="00025768" w:rsidRPr="009E7CFD" w:rsidTr="001C6884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Podstawy prawne funkcjonowania polskiego rynku ubezpieczeń</w:t>
            </w:r>
          </w:p>
        </w:tc>
      </w:tr>
      <w:tr w:rsidR="00025768" w:rsidRPr="009E7CFD" w:rsidTr="001C6884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Organizacja działalności przedsiębiorstwa ubezpieczeniowego</w:t>
            </w:r>
          </w:p>
        </w:tc>
      </w:tr>
      <w:tr w:rsidR="00025768" w:rsidRPr="009E7CFD" w:rsidTr="001C6884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Produkt ubezpieczeniowy</w:t>
            </w:r>
          </w:p>
        </w:tc>
      </w:tr>
      <w:tr w:rsidR="00025768" w:rsidRPr="009E7CFD" w:rsidTr="001C6884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Umowa ubezpieczenia</w:t>
            </w:r>
          </w:p>
        </w:tc>
      </w:tr>
      <w:tr w:rsidR="00025768" w:rsidRPr="009E7CFD" w:rsidTr="001C6884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Główne tendencje w rozwoju polskiego rynku ubezpieczeń</w:t>
            </w:r>
          </w:p>
        </w:tc>
      </w:tr>
      <w:tr w:rsidR="00025768" w:rsidRPr="009E7CFD" w:rsidTr="001C6884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Bankassurance - współpraca instytucji bankowej i ubezpieczeniowej </w:t>
            </w:r>
          </w:p>
        </w:tc>
      </w:tr>
    </w:tbl>
    <w:p w:rsidR="00025768" w:rsidRPr="009E7CFD" w:rsidRDefault="00025768" w:rsidP="00025768">
      <w:pPr>
        <w:spacing w:after="0" w:line="240" w:lineRule="auto"/>
        <w:rPr>
          <w:rFonts w:ascii="Corbel" w:hAnsi="Corbel" w:cs="Corbel"/>
          <w:sz w:val="21"/>
          <w:szCs w:val="21"/>
        </w:rPr>
      </w:pPr>
    </w:p>
    <w:p w:rsidR="00025768" w:rsidRPr="009E7CFD" w:rsidRDefault="00025768" w:rsidP="00025768">
      <w:pPr>
        <w:pStyle w:val="Akapitzlist"/>
        <w:numPr>
          <w:ilvl w:val="0"/>
          <w:numId w:val="2"/>
        </w:numPr>
        <w:suppressAutoHyphens/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 w:cs="Corbel"/>
          <w:sz w:val="21"/>
          <w:szCs w:val="21"/>
        </w:rPr>
        <w:t xml:space="preserve">Problematyka ćwiczeń audytoryjnych </w:t>
      </w:r>
    </w:p>
    <w:tbl>
      <w:tblPr>
        <w:tblW w:w="9214" w:type="dxa"/>
        <w:tblInd w:w="108" w:type="dxa"/>
        <w:tblLayout w:type="fixed"/>
        <w:tblLook w:val="0000"/>
      </w:tblPr>
      <w:tblGrid>
        <w:gridCol w:w="9214"/>
      </w:tblGrid>
      <w:tr w:rsidR="00025768" w:rsidRPr="009E7CFD" w:rsidTr="001C6884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Treści merytoryczne</w:t>
            </w:r>
          </w:p>
        </w:tc>
      </w:tr>
      <w:tr w:rsidR="00025768" w:rsidRPr="009E7CFD" w:rsidTr="001C6884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Struktura rynku bankowego</w:t>
            </w:r>
          </w:p>
        </w:tc>
      </w:tr>
      <w:tr w:rsidR="00025768" w:rsidRPr="009E7CFD" w:rsidTr="001C6884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Banki jako pośrednicy na rynku finansowym</w:t>
            </w:r>
          </w:p>
        </w:tc>
      </w:tr>
      <w:tr w:rsidR="00025768" w:rsidRPr="009E7CFD" w:rsidTr="001C6884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Udział inwestorów zagranicznych w polskim systemie bankowym</w:t>
            </w:r>
          </w:p>
        </w:tc>
      </w:tr>
      <w:tr w:rsidR="00025768" w:rsidRPr="009E7CFD" w:rsidTr="001C6884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Tendencje we współczesnej bankowości</w:t>
            </w:r>
          </w:p>
        </w:tc>
      </w:tr>
      <w:tr w:rsidR="00025768" w:rsidRPr="009E7CFD" w:rsidTr="001C6884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Kredyty bankowe dla gospodarstw domowych i przedsiębiorstw</w:t>
            </w:r>
          </w:p>
        </w:tc>
      </w:tr>
      <w:tr w:rsidR="00025768" w:rsidRPr="009E7CFD" w:rsidTr="001C6884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Kanały dystrybucji produktów bankowych</w:t>
            </w:r>
          </w:p>
        </w:tc>
      </w:tr>
      <w:tr w:rsidR="00025768" w:rsidRPr="009E7CFD" w:rsidTr="001C6884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Zarządzanie ryzykiem i jego etapy</w:t>
            </w:r>
          </w:p>
        </w:tc>
      </w:tr>
      <w:tr w:rsidR="00025768" w:rsidRPr="009E7CFD" w:rsidTr="001C6884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Ubezpieczenie gospodarcze a ubezpieczenie społeczne</w:t>
            </w:r>
          </w:p>
        </w:tc>
      </w:tr>
      <w:tr w:rsidR="00025768" w:rsidRPr="009E7CFD" w:rsidTr="001C6884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Funkcje ubezpieczeń gospodarczych</w:t>
            </w:r>
          </w:p>
        </w:tc>
      </w:tr>
      <w:tr w:rsidR="00025768" w:rsidRPr="009E7CFD" w:rsidTr="001C6884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Umowa ubezpieczenia - cechy umowy</w:t>
            </w:r>
          </w:p>
        </w:tc>
      </w:tr>
      <w:tr w:rsidR="00025768" w:rsidRPr="009E7CFD" w:rsidTr="001C6884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Zasady prowadzenia działalności ubezpieczeniowej</w:t>
            </w:r>
          </w:p>
        </w:tc>
      </w:tr>
      <w:tr w:rsidR="00025768" w:rsidRPr="009E7CFD" w:rsidTr="001C6884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lastRenderedPageBreak/>
              <w:t>Strategie sprzedaży produktów ubezpieczeniowych</w:t>
            </w:r>
          </w:p>
        </w:tc>
      </w:tr>
      <w:tr w:rsidR="00025768" w:rsidRPr="009E7CFD" w:rsidTr="001C6884">
        <w:tc>
          <w:tcPr>
            <w:tcW w:w="9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Produkty bankassurance</w:t>
            </w:r>
          </w:p>
        </w:tc>
      </w:tr>
    </w:tbl>
    <w:p w:rsidR="00025768" w:rsidRPr="009E7CFD" w:rsidRDefault="00025768" w:rsidP="00025768">
      <w:pPr>
        <w:pStyle w:val="Punktygwne"/>
        <w:spacing w:before="0" w:after="0"/>
        <w:rPr>
          <w:rFonts w:ascii="Corbel" w:hAnsi="Corbel" w:cs="Corbel"/>
          <w:b w:val="0"/>
          <w:sz w:val="21"/>
          <w:szCs w:val="21"/>
        </w:rPr>
      </w:pPr>
    </w:p>
    <w:p w:rsidR="00025768" w:rsidRPr="009E7CFD" w:rsidRDefault="00025768" w:rsidP="00025768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>3.4 Metody dydaktyczne</w:t>
      </w:r>
    </w:p>
    <w:p w:rsidR="00025768" w:rsidRPr="009E7CFD" w:rsidRDefault="00025768" w:rsidP="00025768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 w:cs="Corbel"/>
          <w:b w:val="0"/>
          <w:smallCaps w:val="0"/>
          <w:sz w:val="21"/>
          <w:szCs w:val="21"/>
        </w:rPr>
        <w:t>Wykład z prezentacją multimedialną</w:t>
      </w:r>
    </w:p>
    <w:p w:rsidR="00025768" w:rsidRPr="009E7CFD" w:rsidRDefault="00025768" w:rsidP="00025768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 w:cs="Corbel"/>
          <w:b w:val="0"/>
          <w:smallCaps w:val="0"/>
          <w:sz w:val="21"/>
          <w:szCs w:val="21"/>
        </w:rPr>
        <w:t>Ćwiczenia: dyskusja, analiza i interpretacja danych oraz tekstów źródłowych, praca w grupach</w:t>
      </w:r>
    </w:p>
    <w:p w:rsidR="00025768" w:rsidRPr="009E7CFD" w:rsidRDefault="00025768" w:rsidP="00025768">
      <w:pPr>
        <w:pStyle w:val="Punktygwne"/>
        <w:spacing w:before="0" w:after="0"/>
        <w:jc w:val="both"/>
        <w:rPr>
          <w:rFonts w:ascii="Corbel" w:hAnsi="Corbel" w:cs="Corbel"/>
          <w:b w:val="0"/>
          <w:smallCaps w:val="0"/>
          <w:sz w:val="21"/>
          <w:szCs w:val="21"/>
        </w:rPr>
      </w:pPr>
    </w:p>
    <w:p w:rsidR="00025768" w:rsidRPr="009E7CFD" w:rsidRDefault="00025768" w:rsidP="00025768">
      <w:pPr>
        <w:pStyle w:val="Punktygwne"/>
        <w:tabs>
          <w:tab w:val="left" w:pos="284"/>
        </w:tabs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 xml:space="preserve">4. METODY I KRYTERIA OCENY </w:t>
      </w:r>
    </w:p>
    <w:p w:rsidR="00025768" w:rsidRPr="009E7CFD" w:rsidRDefault="00025768" w:rsidP="00025768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>4.1 Sposoby weryfikacji efektów kształcenia</w:t>
      </w:r>
    </w:p>
    <w:tbl>
      <w:tblPr>
        <w:tblW w:w="8959" w:type="dxa"/>
        <w:tblInd w:w="108" w:type="dxa"/>
        <w:tblLayout w:type="fixed"/>
        <w:tblLook w:val="0000"/>
      </w:tblPr>
      <w:tblGrid>
        <w:gridCol w:w="1843"/>
        <w:gridCol w:w="5670"/>
        <w:gridCol w:w="1446"/>
      </w:tblGrid>
      <w:tr w:rsidR="00025768" w:rsidRPr="009E7CFD" w:rsidTr="001C6884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5768" w:rsidRPr="009E7CFD" w:rsidRDefault="00025768" w:rsidP="001C6884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5768" w:rsidRPr="009E7CFD" w:rsidRDefault="00025768" w:rsidP="001C6884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025768" w:rsidRPr="009E7CFD" w:rsidRDefault="00025768" w:rsidP="001C6884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5768" w:rsidRPr="009E7CFD" w:rsidRDefault="00025768" w:rsidP="001C6884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025768" w:rsidRPr="009E7CFD" w:rsidTr="001C6884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  <w:highlight w:val="white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egzamin pisemny, obserwacja w trakcie zajęć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wykład</w:t>
            </w:r>
          </w:p>
        </w:tc>
      </w:tr>
      <w:tr w:rsidR="00025768" w:rsidRPr="009E7CFD" w:rsidTr="001C6884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  <w:highlight w:val="white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kolokwium, praca grupowa, obserwacja w trakcie zajęć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ćwiczenia</w:t>
            </w:r>
          </w:p>
        </w:tc>
      </w:tr>
    </w:tbl>
    <w:p w:rsidR="00025768" w:rsidRPr="009E7CFD" w:rsidRDefault="00025768" w:rsidP="00025768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</w:p>
    <w:p w:rsidR="00025768" w:rsidRPr="009E7CFD" w:rsidRDefault="00025768" w:rsidP="00025768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9214" w:type="dxa"/>
        <w:tblInd w:w="108" w:type="dxa"/>
        <w:tblLayout w:type="fixed"/>
        <w:tblLook w:val="0000"/>
      </w:tblPr>
      <w:tblGrid>
        <w:gridCol w:w="9214"/>
      </w:tblGrid>
      <w:tr w:rsidR="00025768" w:rsidRPr="009E7CFD" w:rsidTr="001C6884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t xml:space="preserve">Ćwiczenia: </w:t>
            </w:r>
          </w:p>
          <w:p w:rsidR="00025768" w:rsidRPr="009E7CFD" w:rsidRDefault="00025768" w:rsidP="00025768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  <w:highlight w:val="white"/>
              </w:rPr>
              <w:t xml:space="preserve"> 1 kolokwium,</w:t>
            </w:r>
          </w:p>
          <w:p w:rsidR="00025768" w:rsidRPr="009E7CFD" w:rsidRDefault="00025768" w:rsidP="00025768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  <w:highlight w:val="white"/>
              </w:rPr>
              <w:t>ocena aktywności i przygotowania do zajęć na podstawie zadanej literatury.</w:t>
            </w:r>
          </w:p>
          <w:p w:rsidR="00025768" w:rsidRPr="009E7CFD" w:rsidRDefault="00025768" w:rsidP="001C6884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t xml:space="preserve">Wykład: </w:t>
            </w:r>
          </w:p>
          <w:p w:rsidR="00025768" w:rsidRPr="009E7CFD" w:rsidRDefault="00025768" w:rsidP="00025768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  <w:highlight w:val="white"/>
              </w:rPr>
              <w:t>egzamin pisemny – test</w:t>
            </w:r>
          </w:p>
          <w:p w:rsidR="00025768" w:rsidRPr="009E7CFD" w:rsidRDefault="00025768" w:rsidP="001C6884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t>Ocena 3,0 wymaga zdobycia 51% maksymalnej ilości punktów przypisanych do poszczególnych prac i aktywności składających się na zaliczenie przedmiotu.</w:t>
            </w:r>
          </w:p>
        </w:tc>
      </w:tr>
    </w:tbl>
    <w:p w:rsidR="00025768" w:rsidRPr="009E7CFD" w:rsidRDefault="00025768" w:rsidP="00025768">
      <w:pPr>
        <w:pStyle w:val="Punktygwne"/>
        <w:spacing w:before="0" w:after="0"/>
        <w:rPr>
          <w:rFonts w:ascii="Corbel" w:hAnsi="Corbel" w:cs="Corbel"/>
          <w:b w:val="0"/>
          <w:smallCaps w:val="0"/>
          <w:sz w:val="21"/>
          <w:szCs w:val="21"/>
        </w:rPr>
      </w:pPr>
    </w:p>
    <w:p w:rsidR="00025768" w:rsidRPr="009E7CFD" w:rsidRDefault="00025768" w:rsidP="00025768">
      <w:pPr>
        <w:pStyle w:val="Bezodstpw"/>
        <w:ind w:left="284" w:hanging="284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 w:cs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9214" w:type="dxa"/>
        <w:tblInd w:w="108" w:type="dxa"/>
        <w:tblLayout w:type="fixed"/>
        <w:tblLook w:val="0000"/>
      </w:tblPr>
      <w:tblGrid>
        <w:gridCol w:w="4962"/>
        <w:gridCol w:w="4252"/>
      </w:tblGrid>
      <w:tr w:rsidR="00025768" w:rsidRPr="009E7CFD" w:rsidTr="001C6884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5768" w:rsidRPr="009E7CFD" w:rsidRDefault="00025768" w:rsidP="001C68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5768" w:rsidRPr="009E7CFD" w:rsidRDefault="00025768" w:rsidP="001C68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025768" w:rsidRPr="009E7CFD" w:rsidTr="001C6884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30</w:t>
            </w:r>
          </w:p>
        </w:tc>
      </w:tr>
      <w:tr w:rsidR="00025768" w:rsidRPr="009E7CFD" w:rsidTr="001C6884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Inne z udziałem nauczyciela</w:t>
            </w:r>
          </w:p>
          <w:p w:rsidR="00025768" w:rsidRPr="009E7CFD" w:rsidRDefault="00025768" w:rsidP="001C68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5</w:t>
            </w:r>
          </w:p>
        </w:tc>
      </w:tr>
      <w:tr w:rsidR="00025768" w:rsidRPr="009E7CFD" w:rsidTr="001C6884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Godziny niekontaktowe – praca własna studenta (przygotowanie do zajęć, egzaminu, napisanie referatu itp.)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40</w:t>
            </w:r>
          </w:p>
        </w:tc>
      </w:tr>
      <w:tr w:rsidR="00025768" w:rsidRPr="009E7CFD" w:rsidTr="001C6884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SUMA GODZIN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/>
                <w:sz w:val="21"/>
                <w:szCs w:val="21"/>
              </w:rPr>
              <w:t>75</w:t>
            </w:r>
          </w:p>
        </w:tc>
      </w:tr>
      <w:tr w:rsidR="00025768" w:rsidRPr="009E7CFD" w:rsidTr="001C6884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/>
                <w:sz w:val="21"/>
                <w:szCs w:val="21"/>
              </w:rPr>
              <w:t>3</w:t>
            </w:r>
          </w:p>
        </w:tc>
      </w:tr>
    </w:tbl>
    <w:p w:rsidR="00025768" w:rsidRPr="009E7CFD" w:rsidRDefault="00025768" w:rsidP="00025768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 w:cs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025768" w:rsidRPr="009E7CFD" w:rsidRDefault="00025768" w:rsidP="00025768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</w:p>
    <w:p w:rsidR="00025768" w:rsidRPr="009E7CFD" w:rsidRDefault="00025768" w:rsidP="00025768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Look w:val="0000"/>
      </w:tblPr>
      <w:tblGrid>
        <w:gridCol w:w="4324"/>
        <w:gridCol w:w="4964"/>
      </w:tblGrid>
      <w:tr w:rsidR="00025768" w:rsidRPr="009E7CFD" w:rsidTr="001C6884">
        <w:trPr>
          <w:trHeight w:val="397"/>
        </w:trPr>
        <w:tc>
          <w:tcPr>
            <w:tcW w:w="2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025768" w:rsidRPr="009E7CFD" w:rsidTr="001C6884">
        <w:trPr>
          <w:trHeight w:val="397"/>
        </w:trPr>
        <w:tc>
          <w:tcPr>
            <w:tcW w:w="2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025768" w:rsidRPr="009E7CFD" w:rsidRDefault="00025768" w:rsidP="00025768">
      <w:pPr>
        <w:pStyle w:val="Punktygwne"/>
        <w:spacing w:before="0" w:after="0"/>
        <w:rPr>
          <w:rFonts w:ascii="Corbel" w:hAnsi="Corbel" w:cs="Corbel"/>
          <w:b w:val="0"/>
          <w:smallCaps w:val="0"/>
          <w:sz w:val="21"/>
          <w:szCs w:val="21"/>
        </w:rPr>
      </w:pPr>
    </w:p>
    <w:p w:rsidR="00025768" w:rsidRPr="009E7CFD" w:rsidRDefault="00025768" w:rsidP="00025768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Look w:val="0000"/>
      </w:tblPr>
      <w:tblGrid>
        <w:gridCol w:w="9288"/>
      </w:tblGrid>
      <w:tr w:rsidR="00025768" w:rsidRPr="009E7CFD" w:rsidTr="001C6884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025768" w:rsidRPr="009E7CFD" w:rsidRDefault="00025768" w:rsidP="00025768">
            <w:pPr>
              <w:pStyle w:val="Punktygwne"/>
              <w:numPr>
                <w:ilvl w:val="0"/>
                <w:numId w:val="1"/>
              </w:numPr>
              <w:suppressAutoHyphens/>
              <w:spacing w:before="0" w:after="0"/>
              <w:ind w:left="318" w:hanging="284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Dobosiewicz Z. Bankowość, PWE, Warszawa 2011. </w:t>
            </w:r>
          </w:p>
          <w:p w:rsidR="00025768" w:rsidRPr="009E7CFD" w:rsidRDefault="00025768" w:rsidP="00025768">
            <w:pPr>
              <w:pStyle w:val="Punktygwne"/>
              <w:numPr>
                <w:ilvl w:val="0"/>
                <w:numId w:val="1"/>
              </w:numPr>
              <w:suppressAutoHyphens/>
              <w:spacing w:before="0" w:after="0"/>
              <w:ind w:left="318" w:hanging="284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Galbarczyk T., Świderska J., Bank komercyjny w Polsce, Difin, Warszawa 2011. </w:t>
            </w:r>
          </w:p>
          <w:p w:rsidR="00025768" w:rsidRPr="009E7CFD" w:rsidRDefault="00025768" w:rsidP="00025768">
            <w:pPr>
              <w:pStyle w:val="Punktygwne"/>
              <w:numPr>
                <w:ilvl w:val="0"/>
                <w:numId w:val="1"/>
              </w:numPr>
              <w:suppressAutoHyphens/>
              <w:spacing w:before="0" w:after="0"/>
              <w:ind w:left="318" w:hanging="284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Handschke J., Monkiewicz J. (red.), Ubezpieczenia, Poltext, Warszawa 2010.</w:t>
            </w:r>
          </w:p>
        </w:tc>
      </w:tr>
      <w:tr w:rsidR="00025768" w:rsidRPr="009E7CFD" w:rsidTr="001C6884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5768" w:rsidRPr="009E7CFD" w:rsidRDefault="00025768" w:rsidP="001C6884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025768" w:rsidRPr="009E7CFD" w:rsidRDefault="00025768" w:rsidP="00025768">
            <w:pPr>
              <w:pStyle w:val="Punktygwne"/>
              <w:numPr>
                <w:ilvl w:val="0"/>
                <w:numId w:val="3"/>
              </w:numPr>
              <w:suppressAutoHyphens/>
              <w:spacing w:before="0" w:after="0"/>
              <w:ind w:left="318" w:hanging="284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Raport o stabilności systemu finansowego, NBP, Warszawa 2016. </w:t>
            </w:r>
          </w:p>
          <w:p w:rsidR="00025768" w:rsidRPr="009E7CFD" w:rsidRDefault="00025768" w:rsidP="00025768">
            <w:pPr>
              <w:pStyle w:val="Punktygwne"/>
              <w:numPr>
                <w:ilvl w:val="0"/>
                <w:numId w:val="3"/>
              </w:numPr>
              <w:suppressAutoHyphens/>
              <w:spacing w:before="0" w:after="0"/>
              <w:ind w:left="318" w:hanging="284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Ustawa prawo bankowe, ustawa o Narodowym Banku Polskim (z 29 VIII 1997 z późn. zmianami)</w:t>
            </w:r>
          </w:p>
          <w:p w:rsidR="00025768" w:rsidRPr="009E7CFD" w:rsidRDefault="00025768" w:rsidP="00025768">
            <w:pPr>
              <w:pStyle w:val="Punktygwne"/>
              <w:numPr>
                <w:ilvl w:val="0"/>
                <w:numId w:val="3"/>
              </w:numPr>
              <w:suppressAutoHyphens/>
              <w:spacing w:before="0" w:after="0"/>
              <w:ind w:left="318" w:hanging="284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Ronka-Chmielowiec W. (red.), Ubezpieczenia, Wydawnictwo C. H. Beck, Warszwa 2016.</w:t>
            </w:r>
          </w:p>
          <w:p w:rsidR="00025768" w:rsidRPr="009E7CFD" w:rsidRDefault="00025768" w:rsidP="00025768">
            <w:pPr>
              <w:pStyle w:val="Punktygwne"/>
              <w:numPr>
                <w:ilvl w:val="0"/>
                <w:numId w:val="3"/>
              </w:numPr>
              <w:suppressAutoHyphens/>
              <w:spacing w:before="0" w:after="0"/>
              <w:ind w:left="318" w:hanging="284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lastRenderedPageBreak/>
              <w:t>Szumlicz T. (red.), Społeczne aspekty rozwoju rynku ubezpieczeniowego, Oficyna Wydawnicza SGH, Warszawa 2010.</w:t>
            </w:r>
          </w:p>
          <w:p w:rsidR="00025768" w:rsidRPr="009E7CFD" w:rsidRDefault="00025768" w:rsidP="00025768">
            <w:pPr>
              <w:pStyle w:val="Punktygwne"/>
              <w:numPr>
                <w:ilvl w:val="0"/>
                <w:numId w:val="3"/>
              </w:numPr>
              <w:suppressAutoHyphens/>
              <w:spacing w:before="0" w:after="0"/>
              <w:ind w:left="318" w:hanging="284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Jajuga K. (red.), Zarządzanie ryzykiem, PWN, Warszawa 2007.</w:t>
            </w:r>
          </w:p>
        </w:tc>
      </w:tr>
    </w:tbl>
    <w:p w:rsidR="00DA1CE0" w:rsidRDefault="00DA1CE0"/>
    <w:sectPr w:rsidR="00DA1CE0" w:rsidSect="00DA1C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orbel" w:hAnsi="Corbel" w:cs="Corbel"/>
        <w:b w:val="0"/>
        <w:bCs/>
        <w:caps w:val="0"/>
        <w:smallCaps w:val="0"/>
        <w:sz w:val="22"/>
        <w:szCs w:val="24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25768"/>
    <w:rsid w:val="00025768"/>
    <w:rsid w:val="00DA1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5768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5768"/>
    <w:pPr>
      <w:ind w:left="720"/>
      <w:contextualSpacing/>
    </w:pPr>
  </w:style>
  <w:style w:type="paragraph" w:customStyle="1" w:styleId="Default">
    <w:name w:val="Default"/>
    <w:rsid w:val="0002576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02576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02576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02576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02576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02576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025768"/>
  </w:style>
  <w:style w:type="paragraph" w:customStyle="1" w:styleId="centralniewrubryce">
    <w:name w:val="centralnie w rubryce"/>
    <w:basedOn w:val="Normalny"/>
    <w:rsid w:val="0002576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02576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2576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25768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886</Words>
  <Characters>5317</Characters>
  <Application>Microsoft Office Word</Application>
  <DocSecurity>0</DocSecurity>
  <Lines>44</Lines>
  <Paragraphs>12</Paragraphs>
  <ScaleCrop>false</ScaleCrop>
  <Company>Acer</Company>
  <LinksUpToDate>false</LinksUpToDate>
  <CharactersWithSpaces>6191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2019-02-08T20:40:00Z</dcterms:created>
  <dcterms:modified xsi:type="dcterms:W3CDTF">2019-02-08T20:42:00Z</dcterms:modified>
</cp:coreProperties>
</file>