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2FC09A1A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AC06CD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202</w:t>
      </w:r>
      <w:r w:rsidR="00251A86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1</w:t>
      </w:r>
      <w:r w:rsidRPr="00AC06CD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-202</w:t>
      </w:r>
      <w:r w:rsidR="00251A86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4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</w:p>
    <w:p w14:paraId="0F05DE12" w14:textId="36162273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251A86">
        <w:rPr>
          <w:rFonts w:ascii="Corbel" w:hAnsi="Corbel" w:cs="Corbel"/>
          <w:sz w:val="20"/>
          <w:szCs w:val="20"/>
        </w:rPr>
        <w:t>3</w:t>
      </w:r>
      <w:r>
        <w:rPr>
          <w:rFonts w:ascii="Corbel" w:hAnsi="Corbel" w:cs="Corbel"/>
          <w:sz w:val="20"/>
          <w:szCs w:val="20"/>
        </w:rPr>
        <w:t>/202</w:t>
      </w:r>
      <w:r w:rsidR="00251A86">
        <w:rPr>
          <w:rFonts w:ascii="Corbel" w:hAnsi="Corbel" w:cs="Corbel"/>
          <w:sz w:val="20"/>
          <w:szCs w:val="20"/>
        </w:rPr>
        <w:t>4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4F36384" w:rsidR="00B73CA6" w:rsidRPr="009C54AE" w:rsidRDefault="00F060E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UR</w:t>
            </w:r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 Mariola Grzebyk, prof. UR,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47910979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423D4B9D" w14:textId="10CF4105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w formie tradycyjnej lub z wykorzystaniem platformy Ms Teams</w:t>
      </w:r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B2B01" w:rsidRPr="009C54AE" w14:paraId="06868B29" w14:textId="77777777" w:rsidTr="006B2B01">
        <w:tc>
          <w:tcPr>
            <w:tcW w:w="851" w:type="dxa"/>
            <w:vAlign w:val="center"/>
          </w:tcPr>
          <w:p w14:paraId="5372B5A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</w:tr>
      <w:tr w:rsidR="006B2B01" w:rsidRPr="009C54AE" w14:paraId="02032FE3" w14:textId="77777777" w:rsidTr="006B2B01">
        <w:tc>
          <w:tcPr>
            <w:tcW w:w="851" w:type="dxa"/>
            <w:vAlign w:val="center"/>
          </w:tcPr>
          <w:p w14:paraId="550CF7E8" w14:textId="77777777" w:rsidR="006B2B01" w:rsidRPr="008B5152" w:rsidRDefault="006B2B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</w:tr>
      <w:tr w:rsidR="006B2B01" w:rsidRPr="009C54AE" w14:paraId="6B8A86F9" w14:textId="77777777" w:rsidTr="006B2B01">
        <w:tc>
          <w:tcPr>
            <w:tcW w:w="851" w:type="dxa"/>
            <w:vAlign w:val="center"/>
          </w:tcPr>
          <w:p w14:paraId="53C0B3C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Parapubliczne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Makrootoczenie – cechy, wpływ na przedsiębiorstwo. Wyodrębnienie czynników makrootoczenia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Koncepcje analizy makrootoczenia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2EB29B36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249E07D7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5D9F924E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4DBC93F3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>: aktualne tendencje rozwojowe i wyzwania, CeDeWu,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10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SGH,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Marek S., Białasiewicz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  <w:color w:val="000000"/>
                <w:spacing w:val="-4"/>
              </w:rPr>
              <w:t>Strużycki M. (red.), Zarządzanie przedsiębiorstwem, Difin,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>effery M., Marketing analityczny. 15 wskaźników, które powinien znać każdy Marketer,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>Materiały informacyjne, opracowania PARP.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7A7C1" w14:textId="77777777" w:rsidR="00BB2CD9" w:rsidRDefault="00BB2CD9" w:rsidP="00C16ABF">
      <w:pPr>
        <w:spacing w:after="0" w:line="240" w:lineRule="auto"/>
      </w:pPr>
      <w:r>
        <w:separator/>
      </w:r>
    </w:p>
  </w:endnote>
  <w:endnote w:type="continuationSeparator" w:id="0">
    <w:p w14:paraId="73FB4E9E" w14:textId="77777777" w:rsidR="00BB2CD9" w:rsidRDefault="00BB2C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2919C" w14:textId="77777777" w:rsidR="00BB2CD9" w:rsidRDefault="00BB2CD9" w:rsidP="00C16ABF">
      <w:pPr>
        <w:spacing w:after="0" w:line="240" w:lineRule="auto"/>
      </w:pPr>
      <w:r>
        <w:separator/>
      </w:r>
    </w:p>
  </w:footnote>
  <w:footnote w:type="continuationSeparator" w:id="0">
    <w:p w14:paraId="560554F3" w14:textId="77777777" w:rsidR="00BB2CD9" w:rsidRDefault="00BB2CD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A86"/>
    <w:rsid w:val="002561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CAA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2B01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06CD"/>
    <w:rsid w:val="00AD1146"/>
    <w:rsid w:val="00AD27D3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2CD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60E5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481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F9BA37-E699-4B06-8B88-3843533733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1150</Words>
  <Characters>6905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17</cp:revision>
  <cp:lastPrinted>2019-02-06T12:12:00Z</cp:lastPrinted>
  <dcterms:created xsi:type="dcterms:W3CDTF">2020-12-23T10:07:00Z</dcterms:created>
  <dcterms:modified xsi:type="dcterms:W3CDTF">2021-11-03T17:40:00Z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