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6B4272C3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</w:t>
      </w:r>
      <w:r w:rsidR="00B42D07">
        <w:rPr>
          <w:rFonts w:ascii="Corbel" w:hAnsi="Corbel" w:cs="Corbel"/>
          <w:b/>
          <w:bCs/>
          <w:smallCaps/>
        </w:rPr>
        <w:t>2</w:t>
      </w:r>
      <w:r w:rsidRPr="00BC401A">
        <w:rPr>
          <w:rFonts w:ascii="Corbel" w:hAnsi="Corbel" w:cs="Corbel"/>
          <w:b/>
          <w:bCs/>
          <w:smallCaps/>
        </w:rPr>
        <w:t>-202</w:t>
      </w:r>
      <w:r w:rsidR="00B42D07">
        <w:rPr>
          <w:rFonts w:ascii="Corbel" w:hAnsi="Corbel" w:cs="Corbel"/>
          <w:b/>
          <w:bCs/>
          <w:smallCaps/>
        </w:rPr>
        <w:t>5</w:t>
      </w:r>
    </w:p>
    <w:p w14:paraId="50202949" w14:textId="3A5CA789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B42D07">
        <w:rPr>
          <w:rFonts w:ascii="Corbel" w:hAnsi="Corbel" w:cs="Corbel"/>
        </w:rPr>
        <w:t>2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B42D07">
        <w:rPr>
          <w:rFonts w:ascii="Corbel" w:hAnsi="Corbel" w:cs="Corbel"/>
        </w:rPr>
        <w:t>3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BC401A">
        <w:rPr>
          <w:rFonts w:ascii="Corbel" w:hAnsi="Corbel" w:cs="Corbel"/>
        </w:rPr>
        <w:t>ECTS</w:t>
      </w:r>
      <w:proofErr w:type="spellEnd"/>
      <w:r w:rsidRPr="00BC401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BC401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2C1069A5" w14:textId="77777777">
        <w:tc>
          <w:tcPr>
            <w:tcW w:w="9670" w:type="dxa"/>
          </w:tcPr>
          <w:p w14:paraId="76155951" w14:textId="270AC8BA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</w:t>
            </w:r>
            <w:r w:rsidR="00276E95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5739"/>
        <w:gridCol w:w="1804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0C75548E" w14:textId="77777777" w:rsidTr="00276E95">
        <w:tc>
          <w:tcPr>
            <w:tcW w:w="9168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 w:rsidTr="00276E95">
        <w:tc>
          <w:tcPr>
            <w:tcW w:w="9168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6B58CEFB" w14:textId="77777777" w:rsidTr="00276E95">
        <w:tc>
          <w:tcPr>
            <w:tcW w:w="9168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 w:rsidTr="00276E95">
        <w:tc>
          <w:tcPr>
            <w:tcW w:w="9168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 w:rsidTr="00276E95">
        <w:tc>
          <w:tcPr>
            <w:tcW w:w="9168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 w:rsidTr="00276E95">
        <w:tc>
          <w:tcPr>
            <w:tcW w:w="9168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 w:rsidTr="00276E95">
        <w:tc>
          <w:tcPr>
            <w:tcW w:w="9168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2802F389" w:rsidR="006C099B" w:rsidRPr="00BC401A" w:rsidRDefault="00276E95" w:rsidP="00276E95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 xml:space="preserve">Metody zabezpieczenia społecznego. System ubezpieczeń społecznych i ubezpieczenie zdrowotne 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>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67F8D9F6" w14:textId="77777777" w:rsidTr="00276E95">
        <w:tc>
          <w:tcPr>
            <w:tcW w:w="9168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 w:rsidTr="00276E95">
        <w:tc>
          <w:tcPr>
            <w:tcW w:w="9168" w:type="dxa"/>
          </w:tcPr>
          <w:p w14:paraId="50CEA4DB" w14:textId="380B2B2D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Problematyka budżetu państwa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. </w:t>
            </w:r>
          </w:p>
          <w:p w14:paraId="22975461" w14:textId="09E1802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przychody, rozchody budżetowe). P</w:t>
            </w:r>
            <w:r w:rsidRPr="00BC401A">
              <w:rPr>
                <w:rFonts w:ascii="Corbel" w:hAnsi="Corbel" w:cs="Corbel"/>
                <w:b w:val="0"/>
                <w:bCs w:val="0"/>
              </w:rPr>
              <w:t>roblem równoważ</w:t>
            </w:r>
            <w:r w:rsidR="00276E95">
              <w:rPr>
                <w:rFonts w:ascii="Corbel" w:hAnsi="Corbel" w:cs="Corbel"/>
                <w:b w:val="0"/>
                <w:bCs w:val="0"/>
              </w:rPr>
              <w:t>enia budżetu, deficyt budżetowy, zasady gospodarki budżetowej,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 xml:space="preserve"> </w:t>
            </w:r>
            <w:r w:rsidR="00276E95">
              <w:rPr>
                <w:rFonts w:ascii="Corbel" w:hAnsi="Corbel" w:cs="Corbel"/>
                <w:b w:val="0"/>
                <w:bCs w:val="0"/>
              </w:rPr>
              <w:t>konsekwencje zasad budżetowych,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procedura budżetowa.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B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>udżet liniowy, zadaniowy, operacyjny i mieszany.</w:t>
            </w:r>
          </w:p>
        </w:tc>
      </w:tr>
      <w:tr w:rsidR="006C099B" w:rsidRPr="00BC401A" w14:paraId="7F0DFD3D" w14:textId="77777777" w:rsidTr="00276E95">
        <w:tc>
          <w:tcPr>
            <w:tcW w:w="9168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0FD5E80B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Cechy podatków i opłat, elementy konstrukcji podatku,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 charakterystyka polskiego systemu podatkowego (podatki centralne i lokalne).</w:t>
            </w:r>
          </w:p>
        </w:tc>
      </w:tr>
      <w:tr w:rsidR="006C099B" w:rsidRPr="00BC401A" w14:paraId="0C965744" w14:textId="77777777" w:rsidTr="00276E95">
        <w:tc>
          <w:tcPr>
            <w:tcW w:w="9168" w:type="dxa"/>
          </w:tcPr>
          <w:p w14:paraId="56B90AF7" w14:textId="6D330006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Ubezpieczenia społeczne.</w:t>
            </w:r>
          </w:p>
          <w:p w14:paraId="13E67EAC" w14:textId="4B3AB62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</w:t>
            </w:r>
            <w:r w:rsidR="00276E95">
              <w:rPr>
                <w:rFonts w:ascii="Corbel" w:hAnsi="Corbel" w:cs="Corbel"/>
                <w:b w:val="0"/>
                <w:bCs w:val="0"/>
              </w:rPr>
              <w:t>czeń społecznych oraz świadczeń,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trzy filary ub</w:t>
            </w:r>
            <w:r w:rsidR="00276E95">
              <w:rPr>
                <w:rFonts w:ascii="Corbel" w:hAnsi="Corbel" w:cs="Corbel"/>
                <w:b w:val="0"/>
                <w:bCs w:val="0"/>
              </w:rPr>
              <w:t>ezpieczeń emerytalnych w Polsce,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wyzwania 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stojące </w:t>
            </w:r>
            <w:r w:rsidRPr="00BC401A">
              <w:rPr>
                <w:rFonts w:ascii="Corbel" w:hAnsi="Corbel" w:cs="Corbel"/>
                <w:b w:val="0"/>
                <w:bCs w:val="0"/>
              </w:rPr>
              <w:t>przed systemem ubezpiecze</w:t>
            </w:r>
            <w:r w:rsidR="00276E95">
              <w:rPr>
                <w:rFonts w:ascii="Corbel" w:hAnsi="Corbel" w:cs="Corbel"/>
                <w:b w:val="0"/>
                <w:bCs w:val="0"/>
              </w:rPr>
              <w:t>ń emerytalnych i rentowych.</w:t>
            </w:r>
          </w:p>
        </w:tc>
      </w:tr>
      <w:tr w:rsidR="006C099B" w:rsidRPr="00BC401A" w14:paraId="388C1A77" w14:textId="77777777" w:rsidTr="00276E95">
        <w:tc>
          <w:tcPr>
            <w:tcW w:w="9168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37274D31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zadań lokalnych i regionalnych,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samodziel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ność finansowa i zadłużenie </w:t>
            </w:r>
            <w:proofErr w:type="spellStart"/>
            <w:r w:rsidR="00276E95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="00276E95">
              <w:rPr>
                <w:rFonts w:ascii="Corbel" w:hAnsi="Corbel" w:cs="Corbel"/>
                <w:b w:val="0"/>
                <w:bCs w:val="0"/>
              </w:rPr>
              <w:t>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ocena gospodarki finansowej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w kontekście kreowania rozwoju lokalnego i regionalnego.</w:t>
            </w:r>
          </w:p>
        </w:tc>
      </w:tr>
      <w:tr w:rsidR="006C099B" w:rsidRPr="00BC401A" w14:paraId="437A9761" w14:textId="77777777" w:rsidTr="00276E95">
        <w:tc>
          <w:tcPr>
            <w:tcW w:w="9168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 w:rsidTr="00276E95">
        <w:tc>
          <w:tcPr>
            <w:tcW w:w="9168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321A2DE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</w:t>
            </w:r>
            <w:r w:rsidR="00276E95">
              <w:rPr>
                <w:rFonts w:ascii="Corbel" w:hAnsi="Corbel" w:cs="Corbel"/>
                <w:b w:val="0"/>
                <w:bCs w:val="0"/>
              </w:rPr>
              <w:t>, s</w:t>
            </w:r>
            <w:r w:rsidRPr="00BC401A">
              <w:rPr>
                <w:rFonts w:ascii="Corbel" w:hAnsi="Corbel" w:cs="Corbel"/>
                <w:b w:val="0"/>
                <w:bCs w:val="0"/>
              </w:rPr>
              <w:t>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4"/>
        <w:gridCol w:w="5345"/>
        <w:gridCol w:w="2059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51102028" w14:textId="1A12CC10" w:rsidR="006C099B" w:rsidRPr="00BC401A" w:rsidRDefault="00276E95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7E31940" w14:textId="0C44D05F" w:rsidR="00276E95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405EB4A4" w:rsidR="006C099B" w:rsidRPr="00276E95" w:rsidRDefault="00276E95" w:rsidP="00276E95">
            <w:pPr>
              <w:spacing w:after="0" w:line="240" w:lineRule="auto"/>
              <w:rPr>
                <w:rFonts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C401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BC401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proofErr w:type="spellStart"/>
            <w:r w:rsidRPr="00BC401A">
              <w:rPr>
                <w:rFonts w:ascii="Corbel" w:hAnsi="Corbel" w:cs="Corbel"/>
              </w:rPr>
              <w:t>niekontaktowe</w:t>
            </w:r>
            <w:proofErr w:type="spellEnd"/>
            <w:r w:rsidRPr="00BC401A">
              <w:rPr>
                <w:rFonts w:ascii="Corbel" w:hAnsi="Corbel" w:cs="Corbel"/>
              </w:rPr>
              <w:t xml:space="preserve">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BC401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BC401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20BAA360" w14:textId="6B828653" w:rsidR="00276E95" w:rsidRPr="00276E95" w:rsidRDefault="006C099B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  <w:p w14:paraId="6B83C02C" w14:textId="68F145F9" w:rsidR="00276E95" w:rsidRPr="00276E95" w:rsidRDefault="00276E95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J.E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., Ekonomia sektora publicznego, Wydawnictwo Naukowe PWN, Warszawa 2007.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Default="006C099B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4A520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5D5D3C7B" w14:textId="77777777" w:rsidR="006C099B" w:rsidRDefault="006C099B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CH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Beck, Warszawa 2014. </w:t>
            </w:r>
          </w:p>
          <w:p w14:paraId="6B3B00CC" w14:textId="5CE62A8D" w:rsidR="00CB031F" w:rsidRPr="00BC401A" w:rsidRDefault="00CB031F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</w:rPr>
              <w:t xml:space="preserve">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8831D6">
              <w:rPr>
                <w:rFonts w:ascii="Corbel" w:hAnsi="Corbel"/>
                <w:b w:val="0"/>
                <w:smallCaps w:val="0"/>
              </w:rPr>
              <w:t>PTE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</w:rPr>
              <w:t>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43FCA" w14:textId="77777777" w:rsidR="00CD09A6" w:rsidRDefault="00CD09A6">
      <w:r>
        <w:separator/>
      </w:r>
    </w:p>
  </w:endnote>
  <w:endnote w:type="continuationSeparator" w:id="0">
    <w:p w14:paraId="3A553691" w14:textId="77777777" w:rsidR="00CD09A6" w:rsidRDefault="00CD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43596" w14:textId="77777777" w:rsidR="00CD09A6" w:rsidRDefault="00CD09A6">
      <w:r>
        <w:separator/>
      </w:r>
    </w:p>
  </w:footnote>
  <w:footnote w:type="continuationSeparator" w:id="0">
    <w:p w14:paraId="392C5159" w14:textId="77777777" w:rsidR="00CD09A6" w:rsidRDefault="00CD0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A27"/>
    <w:multiLevelType w:val="hybridMultilevel"/>
    <w:tmpl w:val="5FA47212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909AD"/>
    <w:multiLevelType w:val="hybridMultilevel"/>
    <w:tmpl w:val="D37CD336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E7412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923BA"/>
    <w:multiLevelType w:val="hybridMultilevel"/>
    <w:tmpl w:val="B1AE006C"/>
    <w:lvl w:ilvl="0" w:tplc="66E4C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96D13"/>
    <w:rsid w:val="00215CF3"/>
    <w:rsid w:val="0024175A"/>
    <w:rsid w:val="002466A2"/>
    <w:rsid w:val="00276E95"/>
    <w:rsid w:val="002805B5"/>
    <w:rsid w:val="00431887"/>
    <w:rsid w:val="004A5205"/>
    <w:rsid w:val="005B152F"/>
    <w:rsid w:val="00660780"/>
    <w:rsid w:val="00677045"/>
    <w:rsid w:val="006C099B"/>
    <w:rsid w:val="00723CA9"/>
    <w:rsid w:val="0081491A"/>
    <w:rsid w:val="0083242D"/>
    <w:rsid w:val="0084094B"/>
    <w:rsid w:val="008A3F09"/>
    <w:rsid w:val="008D75F7"/>
    <w:rsid w:val="009271B4"/>
    <w:rsid w:val="0098604D"/>
    <w:rsid w:val="009A3981"/>
    <w:rsid w:val="009C54AE"/>
    <w:rsid w:val="009E7CFD"/>
    <w:rsid w:val="00A24BE5"/>
    <w:rsid w:val="00AB6449"/>
    <w:rsid w:val="00AD6C6C"/>
    <w:rsid w:val="00B42D07"/>
    <w:rsid w:val="00B8091A"/>
    <w:rsid w:val="00B947F8"/>
    <w:rsid w:val="00BC401A"/>
    <w:rsid w:val="00C47001"/>
    <w:rsid w:val="00CB031F"/>
    <w:rsid w:val="00CD09A6"/>
    <w:rsid w:val="00CE5EBD"/>
    <w:rsid w:val="00E21EEC"/>
    <w:rsid w:val="00E34C2A"/>
    <w:rsid w:val="00E74471"/>
    <w:rsid w:val="00E960BB"/>
    <w:rsid w:val="00EA4832"/>
    <w:rsid w:val="00EC1CBE"/>
    <w:rsid w:val="00F167ED"/>
    <w:rsid w:val="00F3517E"/>
    <w:rsid w:val="00F37A69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  <w:style w:type="character" w:customStyle="1" w:styleId="eop">
    <w:name w:val="eop"/>
    <w:basedOn w:val="Domylnaczcionkaakapitu"/>
    <w:rsid w:val="0027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Właściciel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Elżbieta Lencka</cp:lastModifiedBy>
  <cp:revision>7</cp:revision>
  <dcterms:created xsi:type="dcterms:W3CDTF">2022-02-21T08:24:00Z</dcterms:created>
  <dcterms:modified xsi:type="dcterms:W3CDTF">2022-09-09T07:35:00Z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