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</w:t>
      </w:r>
      <w:proofErr w:type="spellStart"/>
      <w:r w:rsidR="002A22BF" w:rsidRPr="00A15DD5">
        <w:rPr>
          <w:rFonts w:ascii="Corbel" w:hAnsi="Corbel"/>
          <w:bCs/>
          <w:i/>
        </w:rPr>
        <w:t>UR</w:t>
      </w:r>
      <w:proofErr w:type="spellEnd"/>
      <w:r w:rsidR="002A22BF" w:rsidRPr="00A15DD5">
        <w:rPr>
          <w:rFonts w:ascii="Corbel" w:hAnsi="Corbel"/>
          <w:bCs/>
          <w:i/>
        </w:rPr>
        <w:t xml:space="preserve">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258BABC8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2379D3">
        <w:rPr>
          <w:rFonts w:ascii="Corbel" w:hAnsi="Corbel"/>
          <w:b/>
          <w:smallCaps/>
          <w:sz w:val="24"/>
          <w:szCs w:val="24"/>
        </w:rPr>
        <w:t>2022-2025</w:t>
      </w:r>
    </w:p>
    <w:p w14:paraId="2D28B66C" w14:textId="63F0DA99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2379D3">
        <w:rPr>
          <w:rFonts w:ascii="Corbel" w:hAnsi="Corbel"/>
          <w:sz w:val="24"/>
          <w:szCs w:val="24"/>
        </w:rPr>
        <w:t>2</w:t>
      </w:r>
      <w:r w:rsidRPr="00CB13C6">
        <w:rPr>
          <w:rFonts w:ascii="Corbel" w:hAnsi="Corbel"/>
          <w:sz w:val="24"/>
          <w:szCs w:val="24"/>
        </w:rPr>
        <w:t>/202</w:t>
      </w:r>
      <w:r w:rsidR="002379D3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B13C6">
              <w:rPr>
                <w:rFonts w:ascii="Corbel" w:hAnsi="Corbel"/>
                <w:b w:val="0"/>
                <w:sz w:val="24"/>
                <w:szCs w:val="24"/>
              </w:rPr>
              <w:t>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4560C4B4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2BE5C791" w14:textId="7427F4E2" w:rsidR="0015768B" w:rsidRPr="00CB13C6" w:rsidRDefault="00D9049C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B13C6">
        <w:rPr>
          <w:rFonts w:ascii="Corbel" w:hAnsi="Corbel"/>
          <w:sz w:val="24"/>
          <w:szCs w:val="24"/>
        </w:rPr>
        <w:t>ECTS</w:t>
      </w:r>
      <w:proofErr w:type="spellEnd"/>
      <w:r w:rsidRPr="00CB13C6">
        <w:rPr>
          <w:rFonts w:ascii="Corbel" w:hAnsi="Corbel"/>
          <w:sz w:val="24"/>
          <w:szCs w:val="24"/>
        </w:rPr>
        <w:t xml:space="preserve">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Wykł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Konw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Sem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Prakt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</w:t>
            </w:r>
            <w:proofErr w:type="spellStart"/>
            <w:r w:rsidRPr="00CB13C6">
              <w:rPr>
                <w:rFonts w:ascii="Corbel" w:hAnsi="Corbel"/>
                <w:sz w:val="24"/>
                <w:szCs w:val="24"/>
              </w:rPr>
              <w:t>BZ</w:t>
            </w:r>
            <w:proofErr w:type="spellEnd"/>
            <w:r w:rsidRPr="00CB13C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B13C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B13C6">
        <w:rPr>
          <w:rFonts w:ascii="Corbel" w:hAnsi="Corbel"/>
          <w:b/>
          <w:sz w:val="24"/>
          <w:szCs w:val="24"/>
        </w:rPr>
        <w:t xml:space="preserve">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B13C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B13C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B13C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B13C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76E1F" w14:textId="77777777" w:rsidR="00512B85" w:rsidRDefault="00512B85" w:rsidP="00C16ABF">
      <w:pPr>
        <w:spacing w:after="0" w:line="240" w:lineRule="auto"/>
      </w:pPr>
      <w:r>
        <w:separator/>
      </w:r>
    </w:p>
  </w:endnote>
  <w:endnote w:type="continuationSeparator" w:id="0">
    <w:p w14:paraId="0BEB0054" w14:textId="77777777" w:rsidR="00512B85" w:rsidRDefault="00512B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6AF04" w14:textId="77777777" w:rsidR="00512B85" w:rsidRDefault="00512B85" w:rsidP="00C16ABF">
      <w:pPr>
        <w:spacing w:after="0" w:line="240" w:lineRule="auto"/>
      </w:pPr>
      <w:r>
        <w:separator/>
      </w:r>
    </w:p>
  </w:footnote>
  <w:footnote w:type="continuationSeparator" w:id="0">
    <w:p w14:paraId="1D1DE8E4" w14:textId="77777777" w:rsidR="00512B85" w:rsidRDefault="00512B85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9D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B85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A7E27"/>
    <w:rsid w:val="00AB053C"/>
    <w:rsid w:val="00AB670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049C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EB2577-F983-4BC6-8111-B78619B7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1654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2020-10-23T13:23:00Z</dcterms:created>
  <dcterms:modified xsi:type="dcterms:W3CDTF">2022-02-09T08:03:00Z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