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5DC" w:rsidRPr="0098604D" w:rsidRDefault="000605DC" w:rsidP="000605D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8604D">
        <w:rPr>
          <w:rFonts w:ascii="Corbel" w:hAnsi="Corbel"/>
          <w:b/>
          <w:smallCaps/>
          <w:sz w:val="21"/>
          <w:szCs w:val="21"/>
        </w:rPr>
        <w:t>SYLABUS</w:t>
      </w:r>
    </w:p>
    <w:p w:rsidR="000605DC" w:rsidRPr="0098604D" w:rsidRDefault="000605DC" w:rsidP="000605D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8604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8604D">
        <w:rPr>
          <w:rFonts w:ascii="Corbel" w:hAnsi="Corbel"/>
          <w:smallCaps/>
          <w:sz w:val="21"/>
          <w:szCs w:val="21"/>
        </w:rPr>
        <w:t>2018-2021</w:t>
      </w:r>
    </w:p>
    <w:p w:rsidR="000605DC" w:rsidRPr="0098604D" w:rsidRDefault="000605DC" w:rsidP="000605DC">
      <w:pPr>
        <w:spacing w:after="0" w:line="240" w:lineRule="auto"/>
        <w:rPr>
          <w:rFonts w:ascii="Corbel" w:hAnsi="Corbel"/>
          <w:sz w:val="21"/>
          <w:szCs w:val="21"/>
        </w:rPr>
      </w:pPr>
    </w:p>
    <w:p w:rsidR="000605DC" w:rsidRPr="0098604D" w:rsidRDefault="000605DC" w:rsidP="000605D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8604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color w:val="auto"/>
                <w:sz w:val="21"/>
                <w:szCs w:val="21"/>
              </w:rPr>
              <w:t>Finanse publiczne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/I/B.2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I/2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kierunkowy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dr hab. Ryszard Kata, prof. UR</w:t>
            </w:r>
          </w:p>
        </w:tc>
      </w:tr>
      <w:tr w:rsidR="000605DC" w:rsidRPr="0098604D" w:rsidTr="00B947F8">
        <w:tc>
          <w:tcPr>
            <w:tcW w:w="2694" w:type="dxa"/>
            <w:vAlign w:val="center"/>
          </w:tcPr>
          <w:p w:rsidR="000605DC" w:rsidRPr="0098604D" w:rsidRDefault="000605DC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8604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605DC" w:rsidRPr="0098604D" w:rsidRDefault="000605DC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8604D">
              <w:rPr>
                <w:rFonts w:ascii="Corbel" w:hAnsi="Corbel"/>
                <w:b w:val="0"/>
                <w:color w:val="auto"/>
                <w:sz w:val="21"/>
                <w:szCs w:val="21"/>
              </w:rPr>
              <w:t>dr Krzysztof Nowak</w:t>
            </w:r>
          </w:p>
        </w:tc>
      </w:tr>
    </w:tbl>
    <w:p w:rsidR="000605DC" w:rsidRPr="0098604D" w:rsidRDefault="000605DC" w:rsidP="000605DC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8604D">
        <w:rPr>
          <w:rFonts w:ascii="Corbel" w:hAnsi="Corbel"/>
          <w:sz w:val="21"/>
          <w:szCs w:val="21"/>
        </w:rPr>
        <w:t xml:space="preserve">* </w:t>
      </w:r>
      <w:r w:rsidRPr="0098604D">
        <w:rPr>
          <w:rFonts w:ascii="Corbel" w:hAnsi="Corbel"/>
          <w:i/>
          <w:sz w:val="21"/>
          <w:szCs w:val="21"/>
        </w:rPr>
        <w:t xml:space="preserve">- </w:t>
      </w:r>
      <w:r w:rsidRPr="0098604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605DC" w:rsidRPr="009E7CFD" w:rsidRDefault="000605DC" w:rsidP="000605DC">
      <w:pPr>
        <w:pStyle w:val="Podpunkty"/>
        <w:ind w:left="0"/>
        <w:rPr>
          <w:rFonts w:ascii="Corbel" w:hAnsi="Corbel"/>
          <w:sz w:val="21"/>
          <w:szCs w:val="21"/>
        </w:rPr>
      </w:pPr>
    </w:p>
    <w:p w:rsidR="000605DC" w:rsidRPr="009E7CFD" w:rsidRDefault="000605DC" w:rsidP="000605DC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605DC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DC" w:rsidRPr="009E7CFD" w:rsidRDefault="000605DC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605DC" w:rsidRPr="009E7CFD" w:rsidRDefault="000605DC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0605DC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DC" w:rsidRPr="009E7CFD" w:rsidRDefault="000605DC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0605DC" w:rsidRPr="009E7CFD" w:rsidRDefault="000605DC" w:rsidP="000605D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605DC" w:rsidRPr="009E7CFD" w:rsidRDefault="000605DC" w:rsidP="000605D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605DC" w:rsidRPr="009E7CFD" w:rsidRDefault="000605DC" w:rsidP="000605D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605DC" w:rsidRPr="009E7CFD" w:rsidTr="00B947F8">
        <w:tc>
          <w:tcPr>
            <w:tcW w:w="9670" w:type="dxa"/>
          </w:tcPr>
          <w:p w:rsidR="000605DC" w:rsidRPr="009E7CFD" w:rsidRDefault="000605DC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605DC" w:rsidRPr="009E7CFD" w:rsidRDefault="000605DC" w:rsidP="000605DC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8357"/>
      </w:tblGrid>
      <w:tr w:rsidR="000605DC" w:rsidRPr="009E7CFD" w:rsidTr="00B947F8">
        <w:tc>
          <w:tcPr>
            <w:tcW w:w="851" w:type="dxa"/>
            <w:vAlign w:val="center"/>
          </w:tcPr>
          <w:p w:rsidR="000605DC" w:rsidRPr="009E7CFD" w:rsidRDefault="000605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605DC" w:rsidRPr="009E7CFD" w:rsidRDefault="000605DC" w:rsidP="00B947F8">
            <w:pPr>
              <w:pStyle w:val="Defaul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0605DC" w:rsidRPr="009E7CFD" w:rsidTr="00B947F8">
        <w:tc>
          <w:tcPr>
            <w:tcW w:w="851" w:type="dxa"/>
            <w:vAlign w:val="center"/>
          </w:tcPr>
          <w:p w:rsidR="000605DC" w:rsidRPr="009E7CFD" w:rsidRDefault="000605DC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Określenie funkcji i zadań sektora finansów publicznych oraz jego powiązań z sektorem finansowym i gospodarką rynkową.</w:t>
            </w:r>
          </w:p>
        </w:tc>
      </w:tr>
      <w:tr w:rsidR="000605DC" w:rsidRPr="009E7CFD" w:rsidTr="00B947F8">
        <w:tc>
          <w:tcPr>
            <w:tcW w:w="851" w:type="dxa"/>
            <w:vAlign w:val="center"/>
          </w:tcPr>
          <w:p w:rsidR="000605DC" w:rsidRPr="009E7CFD" w:rsidRDefault="000605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605DC" w:rsidRPr="009E7CFD" w:rsidRDefault="000605DC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</w:t>
            </w:r>
            <w:r w:rsidRPr="009E7CFD">
              <w:rPr>
                <w:rFonts w:ascii="Corbel" w:eastAsia="TimesNewRoman" w:hAnsi="Corbel"/>
                <w:sz w:val="21"/>
                <w:szCs w:val="21"/>
              </w:rPr>
              <w:t>ę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tno</w:t>
            </w:r>
            <w:r w:rsidRPr="009E7CFD">
              <w:rPr>
                <w:rFonts w:ascii="Corbel" w:eastAsia="TimesNewRoman" w:hAnsi="Corbel"/>
                <w:sz w:val="21"/>
                <w:szCs w:val="21"/>
              </w:rPr>
              <w:t>ś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ci </w:t>
            </w: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analizy struktur budżetu oraz procesów zachodzących w sektorze finansów publicznych. </w:t>
            </w:r>
          </w:p>
        </w:tc>
      </w:tr>
      <w:tr w:rsidR="000605DC" w:rsidRPr="009E7CFD" w:rsidTr="00B947F8">
        <w:tc>
          <w:tcPr>
            <w:tcW w:w="851" w:type="dxa"/>
            <w:vAlign w:val="center"/>
          </w:tcPr>
          <w:p w:rsidR="000605DC" w:rsidRPr="009E7CFD" w:rsidRDefault="000605DC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Kształtowanie umiej</w:t>
            </w:r>
            <w:r w:rsidRPr="009E7CFD">
              <w:rPr>
                <w:rFonts w:ascii="Corbel" w:eastAsia="TimesNewRoman" w:hAnsi="Corbel"/>
                <w:b w:val="0"/>
                <w:sz w:val="21"/>
                <w:szCs w:val="21"/>
              </w:rPr>
              <w:t>ę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tno</w:t>
            </w:r>
            <w:r w:rsidRPr="009E7CFD">
              <w:rPr>
                <w:rFonts w:ascii="Corbel" w:eastAsia="TimesNewRoman" w:hAnsi="Corbel"/>
                <w:b w:val="0"/>
                <w:sz w:val="21"/>
                <w:szCs w:val="21"/>
              </w:rPr>
              <w:t>ś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ci analizy i interpretacji podstawowych danych makro i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mikroekonomicznych ze sfery gospodarki budżetowej państwa i samorządu terytorialnego. </w:t>
            </w:r>
          </w:p>
        </w:tc>
      </w:tr>
    </w:tbl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605DC" w:rsidRPr="009E7CFD" w:rsidRDefault="000605DC" w:rsidP="000605DC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5693"/>
        <w:gridCol w:w="1830"/>
      </w:tblGrid>
      <w:tr w:rsidR="000605DC" w:rsidRPr="009E7CFD" w:rsidTr="00B947F8">
        <w:tc>
          <w:tcPr>
            <w:tcW w:w="1701" w:type="dxa"/>
            <w:vAlign w:val="center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605DC" w:rsidRPr="009E7CFD" w:rsidTr="00B947F8">
        <w:tc>
          <w:tcPr>
            <w:tcW w:w="1701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0605DC" w:rsidRPr="009E7CFD" w:rsidRDefault="000605DC" w:rsidP="00B947F8">
            <w:pPr>
              <w:pStyle w:val="Defaul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73" w:type="dxa"/>
          </w:tcPr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0605DC" w:rsidRPr="009E7CFD" w:rsidTr="00B947F8">
        <w:tc>
          <w:tcPr>
            <w:tcW w:w="1701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vAlign w:val="center"/>
          </w:tcPr>
          <w:p w:rsidR="000605DC" w:rsidRPr="009E7CFD" w:rsidRDefault="000605DC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Rozpoznaje wzajemne powiązania i zależności między sektorem budżetowym a gospodarką. 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73" w:type="dxa"/>
          </w:tcPr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0605DC" w:rsidRPr="009E7CFD" w:rsidTr="00B947F8">
        <w:tc>
          <w:tcPr>
            <w:tcW w:w="1701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vAlign w:val="center"/>
          </w:tcPr>
          <w:p w:rsidR="000605DC" w:rsidRPr="009E7CFD" w:rsidRDefault="000605DC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73" w:type="dxa"/>
          </w:tcPr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0605DC" w:rsidRPr="009E7CFD" w:rsidTr="00B947F8">
        <w:tc>
          <w:tcPr>
            <w:tcW w:w="1701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vAlign w:val="center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73" w:type="dxa"/>
          </w:tcPr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0605DC" w:rsidRPr="009E7CFD" w:rsidRDefault="000605DC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605DC" w:rsidRPr="009E7CFD" w:rsidRDefault="000605DC" w:rsidP="000605D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0605DC" w:rsidRPr="009E7CFD" w:rsidRDefault="000605DC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–  podstawowe pojęcia, edukacja finansowa a polityka państwa.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Kategorie: gospodarka i polityka finansowa, zwrotne i bezzwrotne źródła gromadzenia i wydatkowania środków finansowych; rola państwa w zakresie edukacji finansowej i wspierania prywatnej zapobiegliwości.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System finansowy i jego ogniwa.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Pojęcie i elementy systemu finansowego; rodzaje strumieni finansowych w gospodarcze; ogniwa i modele systemu finansowego.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Rola państwa w gospodarce.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Pojęcie i formy dochodów publicznych. 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Polityka fiskalna. Charakterystyka dochodów publicznych (ich form, źródeł i struktury). Istota, cele i narzędzia polityki fiskalnej.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Podatki i system podatkowy - ujęcie teoretyczne.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Podatek jako kategoria ekonomiczna, podział podatków, teorie podatkowe, ekonomiczne skutki podatków, krzywa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Laffera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i jej interpretacja.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Wydatki publiczne. Deficyt budżetowy i dług publiczny.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System zabezpieczenia społecznego.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:rsidR="000605DC" w:rsidRPr="009E7CFD" w:rsidRDefault="000605DC" w:rsidP="000605DC">
      <w:pPr>
        <w:spacing w:after="0" w:line="240" w:lineRule="auto"/>
        <w:rPr>
          <w:rFonts w:ascii="Corbel" w:hAnsi="Corbel"/>
          <w:sz w:val="21"/>
          <w:szCs w:val="21"/>
        </w:rPr>
      </w:pPr>
    </w:p>
    <w:p w:rsidR="000605DC" w:rsidRPr="009E7CFD" w:rsidRDefault="000605DC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Problematyka budżetu państwa. Zasady gospodarki budżetowej państwa. 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Pojęcie i cechy budżetu. Procedura budżetowa. Zasady budżetowania.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System podatkowy w Polsce.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Cechy podatków i opłat; elementy konstrukcji podatku; charakterystyka polskiego systemu podatkowego (podatki centralne i lokalne).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Ubezpieczenia społeczne i gospodarcze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samorządu terytorialnego.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Szczeble samorządu terytorialnego i ich zadania, 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Budżet Unii Europejskiej.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Dochody i wydatki budżetu UE. Budżet UE jako narzędzie polityki gospodarczej i społecznej Unii Europejskiej.</w:t>
            </w:r>
          </w:p>
        </w:tc>
      </w:tr>
      <w:tr w:rsidR="000605DC" w:rsidRPr="009E7CFD" w:rsidTr="00B947F8">
        <w:tc>
          <w:tcPr>
            <w:tcW w:w="9639" w:type="dxa"/>
          </w:tcPr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Koordynacja polityki fiskalnej w Unii Europejskiej.</w:t>
            </w:r>
          </w:p>
          <w:p w:rsidR="000605DC" w:rsidRPr="009E7CFD" w:rsidRDefault="000605DC" w:rsidP="00B947F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605DC" w:rsidRPr="009E7CFD" w:rsidRDefault="000605DC" w:rsidP="000605D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0605DC" w:rsidRPr="009E7CFD" w:rsidRDefault="000605DC" w:rsidP="000605DC">
      <w:pPr>
        <w:ind w:left="72" w:hanging="72"/>
        <w:jc w:val="both"/>
        <w:rPr>
          <w:rFonts w:ascii="Corbel" w:hAnsi="Corbel"/>
          <w:bCs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Ćwiczenia: dyskusja moderowana, analiza i interpretacja danych źródłowych (statystycznych)</w:t>
      </w:r>
      <w:r w:rsidRPr="009E7CFD">
        <w:rPr>
          <w:rFonts w:ascii="Corbel" w:hAnsi="Corbel"/>
          <w:color w:val="000000"/>
          <w:sz w:val="21"/>
          <w:szCs w:val="21"/>
        </w:rPr>
        <w:t xml:space="preserve">, </w:t>
      </w:r>
      <w:r w:rsidRPr="009E7CFD">
        <w:rPr>
          <w:rFonts w:ascii="Corbel" w:hAnsi="Corbel"/>
          <w:sz w:val="21"/>
          <w:szCs w:val="21"/>
        </w:rPr>
        <w:t>analiza studium przypadku, przygotowywanie referatów, praca zespołowa.</w:t>
      </w:r>
    </w:p>
    <w:p w:rsidR="000605DC" w:rsidRPr="009E7CFD" w:rsidRDefault="000605DC" w:rsidP="000605D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605DC" w:rsidRPr="009E7CFD" w:rsidRDefault="000605DC" w:rsidP="000605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605DC" w:rsidRPr="009E7CFD" w:rsidRDefault="000605DC" w:rsidP="000605D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5334"/>
        <w:gridCol w:w="2079"/>
      </w:tblGrid>
      <w:tr w:rsidR="000605DC" w:rsidRPr="009E7CFD" w:rsidTr="00B947F8">
        <w:tc>
          <w:tcPr>
            <w:tcW w:w="1843" w:type="dxa"/>
            <w:vAlign w:val="center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0605DC" w:rsidRPr="009E7CFD" w:rsidTr="00B947F8">
        <w:tc>
          <w:tcPr>
            <w:tcW w:w="1843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w trakcie zajęć,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referat z prezentacją,</w:t>
            </w:r>
            <w:r w:rsidR="00215CF3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pisemny</w:t>
            </w:r>
            <w:r w:rsidR="00215CF3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bookmarkStart w:id="0" w:name="_GoBack"/>
            <w:bookmarkEnd w:id="0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zaliczeniowy</w:t>
            </w:r>
          </w:p>
        </w:tc>
        <w:tc>
          <w:tcPr>
            <w:tcW w:w="2126" w:type="dxa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605DC" w:rsidRPr="009E7CFD" w:rsidTr="00B947F8">
        <w:tc>
          <w:tcPr>
            <w:tcW w:w="1843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referat z prezentacją,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pisemny test zaliczeniowy</w:t>
            </w:r>
          </w:p>
        </w:tc>
        <w:tc>
          <w:tcPr>
            <w:tcW w:w="2126" w:type="dxa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605DC" w:rsidRPr="009E7CFD" w:rsidTr="00B947F8">
        <w:tc>
          <w:tcPr>
            <w:tcW w:w="1843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dokonywania analiz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praca grupowa, pisemny test zaliczeniowy</w:t>
            </w:r>
          </w:p>
        </w:tc>
        <w:tc>
          <w:tcPr>
            <w:tcW w:w="2126" w:type="dxa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605DC" w:rsidRPr="009E7CFD" w:rsidTr="00B947F8">
        <w:tc>
          <w:tcPr>
            <w:tcW w:w="1843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605DC" w:rsidRPr="009E7CFD" w:rsidRDefault="000605DC" w:rsidP="000605D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605DC" w:rsidRPr="009E7CFD" w:rsidRDefault="000605DC" w:rsidP="000605D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605DC" w:rsidRPr="009E7CFD" w:rsidTr="00B947F8">
        <w:tc>
          <w:tcPr>
            <w:tcW w:w="9670" w:type="dxa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ocena aktywności na zajęciach </w:t>
            </w:r>
          </w:p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 ocena przygotowanych referatów i ich prezentacji oraz pracy w grupie</w:t>
            </w:r>
          </w:p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 ocena z pisemnego testu zaliczeniowego</w:t>
            </w:r>
          </w:p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0605DC" w:rsidRPr="009E7CFD" w:rsidRDefault="000605DC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Pozytywne zaliczenie testu pisemnego obejmującego tematykę wykładów i ćwiczeń.</w:t>
            </w:r>
          </w:p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uzyskania efektów kształcenia z zakresu wiedzy i umiejętności objętych programem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kształcenia na poziomie podstawowym (55% punktów z testu).</w:t>
            </w:r>
          </w:p>
        </w:tc>
      </w:tr>
    </w:tbl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605DC" w:rsidRPr="009E7CFD" w:rsidRDefault="000605DC" w:rsidP="000605D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0605DC" w:rsidRPr="009E7CFD" w:rsidTr="00B947F8">
        <w:tc>
          <w:tcPr>
            <w:tcW w:w="4962" w:type="dxa"/>
            <w:vAlign w:val="center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605DC" w:rsidRPr="009E7CFD" w:rsidTr="00B947F8">
        <w:tc>
          <w:tcPr>
            <w:tcW w:w="4962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605DC" w:rsidRPr="009E7CFD" w:rsidTr="00B947F8">
        <w:tc>
          <w:tcPr>
            <w:tcW w:w="4962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0605DC" w:rsidRPr="009E7CFD" w:rsidTr="00B947F8">
        <w:tc>
          <w:tcPr>
            <w:tcW w:w="4962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testu, napisanie referatu)</w:t>
            </w:r>
          </w:p>
        </w:tc>
        <w:tc>
          <w:tcPr>
            <w:tcW w:w="4677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68</w:t>
            </w:r>
          </w:p>
        </w:tc>
      </w:tr>
      <w:tr w:rsidR="000605DC" w:rsidRPr="009E7CFD" w:rsidTr="00B947F8">
        <w:tc>
          <w:tcPr>
            <w:tcW w:w="4962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0605DC" w:rsidRPr="009E7CFD" w:rsidTr="00B947F8">
        <w:tc>
          <w:tcPr>
            <w:tcW w:w="4962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605DC" w:rsidRPr="009E7CFD" w:rsidRDefault="000605D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0605DC" w:rsidRPr="009E7CFD" w:rsidRDefault="000605DC" w:rsidP="000605D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0605DC" w:rsidRPr="009E7CFD" w:rsidTr="00B947F8">
        <w:trPr>
          <w:trHeight w:val="397"/>
        </w:trPr>
        <w:tc>
          <w:tcPr>
            <w:tcW w:w="2359" w:type="pct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605DC" w:rsidRPr="009E7CFD" w:rsidTr="00B947F8">
        <w:trPr>
          <w:trHeight w:val="397"/>
        </w:trPr>
        <w:tc>
          <w:tcPr>
            <w:tcW w:w="2359" w:type="pct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605DC" w:rsidRPr="009E7CFD" w:rsidRDefault="000605DC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605DC" w:rsidRPr="009E7CFD" w:rsidRDefault="000605DC" w:rsidP="000605D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0605DC" w:rsidRPr="009E7CFD" w:rsidTr="00B947F8">
        <w:trPr>
          <w:trHeight w:val="397"/>
        </w:trPr>
        <w:tc>
          <w:tcPr>
            <w:tcW w:w="5000" w:type="pct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605DC" w:rsidRPr="009E7CFD" w:rsidRDefault="000605DC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Owsiak S., Finanse publiczne. Współczesne ujęcie</w:t>
            </w:r>
            <w:r w:rsidRPr="009E7CFD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Wydawnictwo Naukowe PWN, Warszawa 2017.</w:t>
            </w:r>
          </w:p>
          <w:p w:rsidR="000605DC" w:rsidRPr="009E7CFD" w:rsidRDefault="000605DC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Żyżyński J., Budżet i polityka podatkowa. Wybrane zagadnienia, Wydawnictwo Naukowe PWN, Warszawa 2009.</w:t>
            </w:r>
          </w:p>
        </w:tc>
      </w:tr>
      <w:tr w:rsidR="000605DC" w:rsidRPr="009E7CFD" w:rsidTr="00B947F8">
        <w:trPr>
          <w:trHeight w:val="397"/>
        </w:trPr>
        <w:tc>
          <w:tcPr>
            <w:tcW w:w="5000" w:type="pct"/>
          </w:tcPr>
          <w:p w:rsidR="000605DC" w:rsidRPr="009E7CFD" w:rsidRDefault="000605DC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605DC" w:rsidRPr="009E7CFD" w:rsidRDefault="000605DC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Podstawka M.(red.), Finanse, Wydawnictwo Naukowe PWN, Warszawa 2010.</w:t>
            </w:r>
          </w:p>
          <w:p w:rsidR="000605DC" w:rsidRPr="009E7CFD" w:rsidRDefault="000605DC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Stiglitz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J.E., Ekonomia sektora publicznego, Wydawnictwo Naukowe PWN, Warszawa 2007.</w:t>
            </w:r>
          </w:p>
          <w:p w:rsidR="000605DC" w:rsidRPr="009E7CFD" w:rsidRDefault="000605DC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Dylewski M., Filipiak B.,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Gorzałczyńska-Koczkodaj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Zioło M., Finanse publiczne. Aspekty teoretyczne i praktyczne, CH Beck, Warszawa 2014. </w:t>
            </w:r>
          </w:p>
        </w:tc>
      </w:tr>
    </w:tbl>
    <w:p w:rsidR="000605DC" w:rsidRPr="009E7CFD" w:rsidRDefault="000605DC" w:rsidP="000605D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sectPr w:rsidR="000605DC" w:rsidRPr="009E7CFD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NewRoman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caps w:val="0"/>
        <w:smallCaps w:val="0"/>
        <w:sz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caps w:val="0"/>
        <w:smallCaps w:val="0"/>
        <w:szCs w:val="24"/>
      </w:rPr>
    </w:lvl>
  </w:abstractNum>
  <w:abstractNum w:abstractNumId="3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E7412"/>
    <w:multiLevelType w:val="hybridMultilevel"/>
    <w:tmpl w:val="35B0248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05DC"/>
    <w:rsid w:val="000605DC"/>
    <w:rsid w:val="00215CF3"/>
    <w:rsid w:val="002466A2"/>
    <w:rsid w:val="00431887"/>
    <w:rsid w:val="0098604D"/>
    <w:rsid w:val="00AD6C6C"/>
    <w:rsid w:val="00C47001"/>
    <w:rsid w:val="00F16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51A69-BC21-4D5F-8D52-3C123FA88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605DC"/>
    <w:pPr>
      <w:ind w:left="720"/>
      <w:contextualSpacing/>
    </w:pPr>
  </w:style>
  <w:style w:type="paragraph" w:customStyle="1" w:styleId="Default">
    <w:name w:val="Default"/>
    <w:rsid w:val="000605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605D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rsid w:val="000605DC"/>
  </w:style>
  <w:style w:type="paragraph" w:customStyle="1" w:styleId="centralniewrubryce">
    <w:name w:val="centralnie w rubryce"/>
    <w:basedOn w:val="Normalny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qFormat/>
    <w:rsid w:val="000605D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05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05DC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7</cp:revision>
  <dcterms:created xsi:type="dcterms:W3CDTF">2019-02-04T11:14:00Z</dcterms:created>
  <dcterms:modified xsi:type="dcterms:W3CDTF">2019-02-11T10:51:00Z</dcterms:modified>
</cp:coreProperties>
</file>