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D12" w:rsidRPr="00422D12" w:rsidRDefault="00422D12" w:rsidP="00422D12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  <w:r w:rsidRPr="00422D12">
        <w:rPr>
          <w:rFonts w:ascii="Corbel" w:hAnsi="Corbel"/>
          <w:b/>
          <w:sz w:val="21"/>
          <w:szCs w:val="21"/>
        </w:rPr>
        <w:t>SYLABUS</w:t>
      </w:r>
    </w:p>
    <w:p w:rsidR="00422D12" w:rsidRPr="00422D12" w:rsidRDefault="00422D12" w:rsidP="00422D12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  <w:r w:rsidRPr="00422D12">
        <w:rPr>
          <w:rFonts w:ascii="Corbel" w:hAnsi="Corbel"/>
          <w:b/>
          <w:sz w:val="21"/>
          <w:szCs w:val="21"/>
        </w:rPr>
        <w:t xml:space="preserve">dotyczy cyklu kształcenia </w:t>
      </w:r>
      <w:r w:rsidRPr="00422D12">
        <w:rPr>
          <w:rFonts w:ascii="Corbel" w:hAnsi="Corbel"/>
          <w:sz w:val="21"/>
          <w:szCs w:val="21"/>
        </w:rPr>
        <w:t>2018-2021</w:t>
      </w:r>
    </w:p>
    <w:p w:rsidR="00422D12" w:rsidRPr="00422D12" w:rsidRDefault="00422D12" w:rsidP="00422D12">
      <w:pPr>
        <w:spacing w:after="0" w:line="240" w:lineRule="auto"/>
        <w:rPr>
          <w:rFonts w:ascii="Corbel" w:hAnsi="Corbel"/>
          <w:sz w:val="21"/>
          <w:szCs w:val="21"/>
        </w:rPr>
      </w:pP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smallCaps w:val="0"/>
          <w:color w:val="0070C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Przedsiębiorczość i marketing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422D1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422D12">
              <w:rPr>
                <w:rFonts w:ascii="Corbel" w:hAnsi="Corbel"/>
                <w:b w:val="0"/>
                <w:sz w:val="21"/>
                <w:szCs w:val="21"/>
              </w:rPr>
              <w:t>/I/A.15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Studia pierwszego stopnia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422D12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422D12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dr hab. Wiesława Kuźniar, prof. UR</w:t>
            </w:r>
          </w:p>
        </w:tc>
      </w:tr>
      <w:tr w:rsidR="00422D12" w:rsidRPr="00422D12" w:rsidTr="00EF75E2">
        <w:tc>
          <w:tcPr>
            <w:tcW w:w="2694" w:type="dxa"/>
            <w:vAlign w:val="center"/>
          </w:tcPr>
          <w:p w:rsidR="00422D12" w:rsidRPr="00422D12" w:rsidRDefault="00422D12" w:rsidP="00EF75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422D12" w:rsidRPr="00422D12" w:rsidRDefault="00422D12" w:rsidP="00EF75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 xml:space="preserve">dr hab. Wiesława Kuźniar, prof. UR, dr Tomasz Surmacz </w:t>
            </w:r>
          </w:p>
        </w:tc>
      </w:tr>
    </w:tbl>
    <w:p w:rsidR="00422D12" w:rsidRPr="00422D12" w:rsidRDefault="00422D12" w:rsidP="00422D1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422D12">
        <w:rPr>
          <w:rFonts w:ascii="Corbel" w:hAnsi="Corbel"/>
          <w:sz w:val="21"/>
          <w:szCs w:val="21"/>
        </w:rPr>
        <w:t xml:space="preserve">* </w:t>
      </w:r>
      <w:r w:rsidRPr="00422D12">
        <w:rPr>
          <w:rFonts w:ascii="Corbel" w:hAnsi="Corbel"/>
          <w:i/>
          <w:sz w:val="21"/>
          <w:szCs w:val="21"/>
        </w:rPr>
        <w:t xml:space="preserve">- </w:t>
      </w:r>
      <w:r w:rsidRPr="00422D12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22D12" w:rsidRPr="00422D12" w:rsidRDefault="00422D12" w:rsidP="00422D12">
      <w:pPr>
        <w:pStyle w:val="Podpunkty"/>
        <w:ind w:left="284"/>
        <w:rPr>
          <w:rFonts w:ascii="Corbel" w:hAnsi="Corbel"/>
          <w:sz w:val="21"/>
          <w:szCs w:val="21"/>
        </w:rPr>
      </w:pPr>
      <w:r w:rsidRPr="00422D1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422D12" w:rsidRPr="00422D12" w:rsidTr="00EF75E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12" w:rsidRPr="00422D12" w:rsidRDefault="00422D12" w:rsidP="00EF75E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422D12" w:rsidRPr="00422D12" w:rsidRDefault="00422D12" w:rsidP="00EF75E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12" w:rsidRPr="00422D12" w:rsidRDefault="00422D12" w:rsidP="00EF75E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12" w:rsidRPr="00422D12" w:rsidRDefault="00422D12" w:rsidP="00EF75E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12" w:rsidRPr="00422D12" w:rsidRDefault="00422D12" w:rsidP="00EF75E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12" w:rsidRPr="00422D12" w:rsidRDefault="00422D12" w:rsidP="00EF75E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12" w:rsidRPr="00422D12" w:rsidRDefault="00422D12" w:rsidP="00EF75E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12" w:rsidRPr="00422D12" w:rsidRDefault="00422D12" w:rsidP="00EF75E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12" w:rsidRPr="00422D12" w:rsidRDefault="00422D12" w:rsidP="00EF75E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422D1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12" w:rsidRPr="00422D12" w:rsidRDefault="00422D12" w:rsidP="00EF75E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422D1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422D12" w:rsidRPr="00422D12" w:rsidTr="00EF75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12" w:rsidRPr="00422D12" w:rsidRDefault="00422D12" w:rsidP="00EF75E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422D12" w:rsidRPr="00422D12" w:rsidRDefault="00422D12" w:rsidP="00422D1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22D12" w:rsidRPr="00422D12" w:rsidRDefault="00422D12" w:rsidP="00422D1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422D12">
        <w:rPr>
          <w:rFonts w:ascii="Corbel" w:eastAsia="MS Gothic" w:hAnsi="Corbel" w:cs="MS Gothic"/>
          <w:smallCaps w:val="0"/>
          <w:sz w:val="21"/>
          <w:szCs w:val="21"/>
        </w:rPr>
        <w:t xml:space="preserve"> x</w:t>
      </w:r>
      <w:r w:rsidRPr="00422D12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422D12">
        <w:rPr>
          <w:rFonts w:ascii="Segoe UI Symbol" w:eastAsia="MS Gothic" w:hAnsi="Segoe UI Symbol" w:cs="Segoe UI Symbol"/>
          <w:b w:val="0"/>
          <w:smallCaps w:val="0"/>
          <w:sz w:val="21"/>
          <w:szCs w:val="21"/>
        </w:rPr>
        <w:t>☐</w:t>
      </w:r>
      <w:r w:rsidRPr="00422D12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22D12" w:rsidRPr="00422D12" w:rsidRDefault="00422D12" w:rsidP="00422D1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422D12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422D1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22D12" w:rsidRPr="00422D12" w:rsidTr="00EF75E2">
        <w:tc>
          <w:tcPr>
            <w:tcW w:w="9670" w:type="dxa"/>
          </w:tcPr>
          <w:p w:rsidR="00422D12" w:rsidRPr="00422D12" w:rsidRDefault="00422D12" w:rsidP="00EF75E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>3. CELE, EFEKTY KSZTAŁCENIA , TREŚCI PROGRAMOWE I STOSOWANE METODY DYDAKTYCZNE</w:t>
      </w:r>
    </w:p>
    <w:p w:rsidR="00422D12" w:rsidRPr="00422D12" w:rsidRDefault="00422D12" w:rsidP="00422D1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422D12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363"/>
      </w:tblGrid>
      <w:tr w:rsidR="00422D12" w:rsidRPr="00422D12" w:rsidTr="00EF75E2">
        <w:tc>
          <w:tcPr>
            <w:tcW w:w="851" w:type="dxa"/>
            <w:vAlign w:val="center"/>
          </w:tcPr>
          <w:p w:rsidR="00422D12" w:rsidRPr="00422D12" w:rsidRDefault="00422D12" w:rsidP="00EF75E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422D12" w:rsidRPr="00422D12" w:rsidRDefault="00422D12" w:rsidP="00EF75E2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422D12">
              <w:rPr>
                <w:rFonts w:ascii="Corbel" w:eastAsia="Times New Roman" w:hAnsi="Corbel"/>
                <w:sz w:val="21"/>
                <w:szCs w:val="21"/>
              </w:rPr>
              <w:t>Przekazanie studentom wiedzy dotyczącej zasad tworzenia i prowadzenia nowych podmiotów gospodarczych na wolnym rynku.</w:t>
            </w:r>
          </w:p>
        </w:tc>
      </w:tr>
      <w:tr w:rsidR="00422D12" w:rsidRPr="00422D12" w:rsidTr="00EF75E2">
        <w:tc>
          <w:tcPr>
            <w:tcW w:w="851" w:type="dxa"/>
            <w:vAlign w:val="center"/>
          </w:tcPr>
          <w:p w:rsidR="00422D12" w:rsidRPr="00422D12" w:rsidRDefault="00422D12" w:rsidP="00EF75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363" w:type="dxa"/>
          </w:tcPr>
          <w:p w:rsidR="00422D12" w:rsidRPr="00422D12" w:rsidRDefault="00422D12" w:rsidP="00EF75E2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422D12">
              <w:rPr>
                <w:rFonts w:ascii="Corbel" w:eastAsia="Times New Roman" w:hAnsi="Corbel"/>
                <w:sz w:val="21"/>
                <w:szCs w:val="21"/>
              </w:rPr>
              <w:t>Rozpoznawanie przez studentów zjawisk i procesów zachodzących w przedsiębiorstwach i ich otoczeniu.</w:t>
            </w:r>
          </w:p>
        </w:tc>
      </w:tr>
      <w:tr w:rsidR="00422D12" w:rsidRPr="00422D12" w:rsidTr="00EF75E2">
        <w:tc>
          <w:tcPr>
            <w:tcW w:w="851" w:type="dxa"/>
            <w:vAlign w:val="center"/>
          </w:tcPr>
          <w:p w:rsidR="00422D12" w:rsidRPr="00422D12" w:rsidRDefault="00422D12" w:rsidP="00EF75E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63" w:type="dxa"/>
            <w:vAlign w:val="center"/>
          </w:tcPr>
          <w:p w:rsidR="00422D12" w:rsidRPr="00422D12" w:rsidRDefault="00422D12" w:rsidP="00EF75E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Wykształcenie umiejętności współdziałania w grupie, w procesie przygotowania przedsięwzięć przedsiębiorczych oraz analiz o charakterze marketingowym.</w:t>
            </w:r>
          </w:p>
        </w:tc>
      </w:tr>
      <w:tr w:rsidR="00422D12" w:rsidRPr="00422D12" w:rsidTr="00EF75E2">
        <w:tc>
          <w:tcPr>
            <w:tcW w:w="851" w:type="dxa"/>
            <w:vAlign w:val="center"/>
          </w:tcPr>
          <w:p w:rsidR="00422D12" w:rsidRPr="00422D12" w:rsidRDefault="00422D12" w:rsidP="00EF75E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363" w:type="dxa"/>
            <w:vAlign w:val="center"/>
          </w:tcPr>
          <w:p w:rsidR="00422D12" w:rsidRPr="00422D12" w:rsidRDefault="00422D12" w:rsidP="00EF75E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22D12" w:rsidRPr="00422D12" w:rsidRDefault="00422D12" w:rsidP="00422D1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bookmarkStart w:id="0" w:name="_GoBack"/>
      <w:bookmarkEnd w:id="0"/>
      <w:r w:rsidRPr="00422D12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422D12">
        <w:rPr>
          <w:rFonts w:ascii="Corbel" w:hAnsi="Corbel"/>
          <w:sz w:val="21"/>
          <w:szCs w:val="21"/>
        </w:rPr>
        <w:t xml:space="preserve"> (</w:t>
      </w:r>
      <w:r w:rsidRPr="00422D12">
        <w:rPr>
          <w:rFonts w:ascii="Corbel" w:hAnsi="Corbel"/>
          <w:i/>
          <w:sz w:val="21"/>
          <w:szCs w:val="21"/>
        </w:rPr>
        <w:t>wypełnia koordynator</w:t>
      </w:r>
      <w:r w:rsidRPr="00422D1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5508"/>
        <w:gridCol w:w="1810"/>
      </w:tblGrid>
      <w:tr w:rsidR="00422D12" w:rsidRPr="00422D12" w:rsidTr="00EF75E2">
        <w:tc>
          <w:tcPr>
            <w:tcW w:w="1701" w:type="dxa"/>
            <w:vAlign w:val="center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422D1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22D12" w:rsidRPr="00422D12" w:rsidTr="00EF75E2">
        <w:tc>
          <w:tcPr>
            <w:tcW w:w="1701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22D12" w:rsidRPr="00422D12" w:rsidRDefault="00422D12" w:rsidP="00EF7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Wymienia i wyjaśnia normy prawne i organizacyjne, procesy zachodzące w organizacjach gospodarczych oraz konsekwencje podejmowanych przez nie decyzji, a także zasady tworzenia i rozwoju form indywidualnej przedsiębiorczości wykorzystując wiedzę z zakresu rachunkowości, finansów, ekonomii i zarządzania. Objaśnia powiązania między finansami i marketingiem. Identyfikuje metody i techniki pozwalające pozyskać dane na potrzeby marketingu.</w:t>
            </w:r>
          </w:p>
        </w:tc>
        <w:tc>
          <w:tcPr>
            <w:tcW w:w="1873" w:type="dxa"/>
          </w:tcPr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</w:p>
        </w:tc>
      </w:tr>
      <w:tr w:rsidR="00422D12" w:rsidRPr="00422D12" w:rsidTr="00EF75E2">
        <w:tc>
          <w:tcPr>
            <w:tcW w:w="1701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22D12" w:rsidRPr="00422D12" w:rsidRDefault="00422D12" w:rsidP="00EF75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Stosuje proste analizy w interpretowaniu zjawisk oraz wyjaśnianiu i rozwiązywaniu problemów przedsiębiorstw oraz przewiduje i prognozuje procesy, identyfikuje zjawiska zagrażające przedsiębiorstwom. </w:t>
            </w:r>
          </w:p>
        </w:tc>
        <w:tc>
          <w:tcPr>
            <w:tcW w:w="1873" w:type="dxa"/>
          </w:tcPr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422D12" w:rsidRPr="00422D12" w:rsidTr="00EF75E2">
        <w:tc>
          <w:tcPr>
            <w:tcW w:w="1701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22D12" w:rsidRPr="00422D12" w:rsidRDefault="00422D12" w:rsidP="00EF75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przedsiębiorstw oraz prezentuje aktywną postawę wobec zmian w otoczeniu, a także prezentuje postawy przedsiębiorcze.</w:t>
            </w:r>
          </w:p>
        </w:tc>
        <w:tc>
          <w:tcPr>
            <w:tcW w:w="1873" w:type="dxa"/>
          </w:tcPr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422D12" w:rsidRPr="00422D12" w:rsidRDefault="00422D12" w:rsidP="00EF75E2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22D12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22D12" w:rsidRPr="00422D12" w:rsidRDefault="00422D12" w:rsidP="00422D1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422D12">
        <w:rPr>
          <w:rFonts w:ascii="Corbel" w:hAnsi="Corbel"/>
          <w:b/>
          <w:sz w:val="21"/>
          <w:szCs w:val="21"/>
        </w:rPr>
        <w:t xml:space="preserve">3.3 Treści programowe </w:t>
      </w:r>
      <w:r w:rsidRPr="00422D12">
        <w:rPr>
          <w:rFonts w:ascii="Corbel" w:hAnsi="Corbel"/>
          <w:sz w:val="21"/>
          <w:szCs w:val="21"/>
        </w:rPr>
        <w:t>(</w:t>
      </w:r>
      <w:r w:rsidRPr="00422D12">
        <w:rPr>
          <w:rFonts w:ascii="Corbel" w:hAnsi="Corbel"/>
          <w:i/>
          <w:sz w:val="21"/>
          <w:szCs w:val="21"/>
        </w:rPr>
        <w:t>wypełnia koordynator)</w:t>
      </w:r>
    </w:p>
    <w:p w:rsidR="00422D12" w:rsidRPr="00422D12" w:rsidRDefault="00422D12" w:rsidP="00422D12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422D1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22D12" w:rsidRPr="00422D12" w:rsidTr="00EF75E2">
        <w:tc>
          <w:tcPr>
            <w:tcW w:w="8954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22D12" w:rsidRPr="00422D12" w:rsidTr="00EF75E2">
        <w:tc>
          <w:tcPr>
            <w:tcW w:w="8954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Wprowadzenie do przedsiębiorczości, sposoby definiowania przedsiębiorczości, osobowość przedsiębiorcza.</w:t>
            </w:r>
          </w:p>
        </w:tc>
      </w:tr>
      <w:tr w:rsidR="00422D12" w:rsidRPr="00422D12" w:rsidTr="00EF75E2">
        <w:tc>
          <w:tcPr>
            <w:tcW w:w="8954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Uwarunkowania rozwoju przedsiębiorczości, typy  przedsiębiorców.</w:t>
            </w:r>
          </w:p>
        </w:tc>
      </w:tr>
      <w:tr w:rsidR="00422D12" w:rsidRPr="00422D12" w:rsidTr="00EF75E2">
        <w:tc>
          <w:tcPr>
            <w:tcW w:w="8954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Elementy przedsiębiorczości a proces marketingu.</w:t>
            </w:r>
          </w:p>
        </w:tc>
      </w:tr>
      <w:tr w:rsidR="00422D12" w:rsidRPr="00422D12" w:rsidTr="00EF75E2">
        <w:tc>
          <w:tcPr>
            <w:tcW w:w="8954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Zachowania konsumentów jako wyznacznik działań przedsiębiorczych.</w:t>
            </w:r>
          </w:p>
        </w:tc>
      </w:tr>
      <w:tr w:rsidR="00422D12" w:rsidRPr="00422D12" w:rsidTr="00EF75E2">
        <w:tc>
          <w:tcPr>
            <w:tcW w:w="8954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Wykorzystanie badań marketingowych w procesie decyzyjnym przedsiębiorstw.</w:t>
            </w:r>
          </w:p>
        </w:tc>
      </w:tr>
      <w:tr w:rsidR="00422D12" w:rsidRPr="00422D12" w:rsidTr="00EF75E2">
        <w:tc>
          <w:tcPr>
            <w:tcW w:w="8954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Kształtowanie  podstawowych narzędzi marketingowych.</w:t>
            </w:r>
          </w:p>
        </w:tc>
      </w:tr>
      <w:tr w:rsidR="00422D12" w:rsidRPr="00422D12" w:rsidTr="00EF75E2">
        <w:tc>
          <w:tcPr>
            <w:tcW w:w="8954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Komunikacja marketingowa  jako warunek powodzenia działań przedsiębiorczych.</w:t>
            </w:r>
          </w:p>
        </w:tc>
      </w:tr>
      <w:tr w:rsidR="00422D12" w:rsidRPr="00422D12" w:rsidTr="00EF75E2">
        <w:tc>
          <w:tcPr>
            <w:tcW w:w="8954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Nowe kierunki rozwoju marketingu wobec wyzwań otoczenia przedsiębiorstw.</w:t>
            </w:r>
          </w:p>
        </w:tc>
      </w:tr>
    </w:tbl>
    <w:p w:rsidR="00422D12" w:rsidRPr="00422D12" w:rsidRDefault="00422D12" w:rsidP="00422D12">
      <w:pPr>
        <w:spacing w:after="0" w:line="240" w:lineRule="auto"/>
        <w:rPr>
          <w:rFonts w:ascii="Corbel" w:hAnsi="Corbel"/>
          <w:sz w:val="21"/>
          <w:szCs w:val="21"/>
        </w:rPr>
      </w:pPr>
    </w:p>
    <w:p w:rsidR="00422D12" w:rsidRPr="00422D12" w:rsidRDefault="00422D12" w:rsidP="00422D1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422D12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22D12" w:rsidRPr="00422D12" w:rsidTr="00EF75E2">
        <w:tc>
          <w:tcPr>
            <w:tcW w:w="9639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22D12" w:rsidRPr="00422D12" w:rsidTr="00EF75E2">
        <w:tc>
          <w:tcPr>
            <w:tcW w:w="9639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Podstawowe pojęcia marketingu, geneza, zasady, orientacje i podstawowe narzędzia.</w:t>
            </w:r>
          </w:p>
        </w:tc>
      </w:tr>
      <w:tr w:rsidR="00422D12" w:rsidRPr="00422D12" w:rsidTr="00EF75E2">
        <w:tc>
          <w:tcPr>
            <w:tcW w:w="9639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Proces decyzyjny i możliwości oddziaływania marketingowego na zachowania nabywców.</w:t>
            </w:r>
          </w:p>
        </w:tc>
      </w:tr>
      <w:tr w:rsidR="00422D12" w:rsidRPr="00422D12" w:rsidTr="00EF75E2">
        <w:tc>
          <w:tcPr>
            <w:tcW w:w="9639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 xml:space="preserve">Segmentacja, identyfikacja rynku docelowego i pozycjonowanie. </w:t>
            </w:r>
          </w:p>
        </w:tc>
      </w:tr>
      <w:tr w:rsidR="00422D12" w:rsidRPr="00422D12" w:rsidTr="00EF75E2">
        <w:tc>
          <w:tcPr>
            <w:tcW w:w="9639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Kształtowanie polityki produktowej. Budowa marki.</w:t>
            </w:r>
          </w:p>
        </w:tc>
      </w:tr>
      <w:tr w:rsidR="00422D12" w:rsidRPr="00422D12" w:rsidTr="00EF75E2">
        <w:tc>
          <w:tcPr>
            <w:tcW w:w="9639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 xml:space="preserve">Budowanie strategii dystrybucyjnej. </w:t>
            </w:r>
          </w:p>
        </w:tc>
      </w:tr>
      <w:tr w:rsidR="00422D12" w:rsidRPr="00422D12" w:rsidTr="00EF75E2">
        <w:tc>
          <w:tcPr>
            <w:tcW w:w="9639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 xml:space="preserve">Polityka cenowa i narzędzia różnicowania cen. </w:t>
            </w:r>
          </w:p>
        </w:tc>
      </w:tr>
      <w:tr w:rsidR="00422D12" w:rsidRPr="00422D12" w:rsidTr="00EF75E2">
        <w:tc>
          <w:tcPr>
            <w:tcW w:w="9639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Działania promocyjne w organizacji. Reklama i promocja sprzedaży.</w:t>
            </w:r>
          </w:p>
        </w:tc>
      </w:tr>
    </w:tbl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22D12" w:rsidRPr="00422D12" w:rsidRDefault="00422D12" w:rsidP="00422D1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>3.4 Metody dydaktyczne</w:t>
      </w: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422D1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422D12" w:rsidRPr="00422D12" w:rsidRDefault="00422D12" w:rsidP="00422D1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422D12">
        <w:rPr>
          <w:rFonts w:ascii="Corbel" w:hAnsi="Corbel"/>
          <w:b w:val="0"/>
          <w:smallCaps w:val="0"/>
          <w:sz w:val="21"/>
          <w:szCs w:val="21"/>
        </w:rPr>
        <w:t xml:space="preserve">Ćwiczenia: dyskusja, analiza i interpretacja tekstów źródłowych, rozwiązywanie </w:t>
      </w:r>
      <w:proofErr w:type="spellStart"/>
      <w:r w:rsidRPr="00422D12">
        <w:rPr>
          <w:rFonts w:ascii="Corbel" w:hAnsi="Corbel"/>
          <w:b w:val="0"/>
          <w:smallCaps w:val="0"/>
          <w:sz w:val="21"/>
          <w:szCs w:val="21"/>
        </w:rPr>
        <w:t>case</w:t>
      </w:r>
      <w:proofErr w:type="spellEnd"/>
      <w:r w:rsidRPr="00422D12">
        <w:rPr>
          <w:rFonts w:ascii="Corbel" w:hAnsi="Corbel"/>
          <w:b w:val="0"/>
          <w:smallCaps w:val="0"/>
          <w:sz w:val="21"/>
          <w:szCs w:val="21"/>
        </w:rPr>
        <w:t xml:space="preserve"> </w:t>
      </w:r>
      <w:proofErr w:type="spellStart"/>
      <w:r w:rsidRPr="00422D12">
        <w:rPr>
          <w:rFonts w:ascii="Corbel" w:hAnsi="Corbel"/>
          <w:b w:val="0"/>
          <w:smallCaps w:val="0"/>
          <w:sz w:val="21"/>
          <w:szCs w:val="21"/>
        </w:rPr>
        <w:t>study</w:t>
      </w:r>
      <w:proofErr w:type="spellEnd"/>
      <w:r w:rsidRPr="00422D12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:rsidR="00422D12" w:rsidRPr="00422D12" w:rsidRDefault="00422D12" w:rsidP="00422D12">
      <w:pPr>
        <w:pStyle w:val="Punktygwne"/>
        <w:spacing w:before="0" w:after="0"/>
        <w:jc w:val="both"/>
        <w:rPr>
          <w:rFonts w:ascii="Corbel" w:hAnsi="Corbel"/>
          <w:smallCaps w:val="0"/>
          <w:sz w:val="21"/>
          <w:szCs w:val="21"/>
        </w:rPr>
      </w:pPr>
    </w:p>
    <w:p w:rsidR="00422D12" w:rsidRPr="00422D12" w:rsidRDefault="00422D12" w:rsidP="00422D12">
      <w:pPr>
        <w:pStyle w:val="Punktygwne"/>
        <w:spacing w:before="0" w:after="0"/>
        <w:jc w:val="both"/>
        <w:rPr>
          <w:rFonts w:ascii="Corbel" w:hAnsi="Corbel"/>
          <w:smallCaps w:val="0"/>
          <w:sz w:val="21"/>
          <w:szCs w:val="21"/>
        </w:rPr>
      </w:pPr>
    </w:p>
    <w:p w:rsidR="00422D12" w:rsidRPr="00422D12" w:rsidRDefault="00422D12" w:rsidP="00422D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422D12" w:rsidRPr="00422D12" w:rsidRDefault="00422D12" w:rsidP="00422D1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422D12" w:rsidRPr="00422D12" w:rsidTr="00EF75E2">
        <w:tc>
          <w:tcPr>
            <w:tcW w:w="1843" w:type="dxa"/>
            <w:vAlign w:val="center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22D12" w:rsidRPr="00422D12" w:rsidTr="00EF75E2">
        <w:tc>
          <w:tcPr>
            <w:tcW w:w="1843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 trakcie zajęć</w:t>
            </w:r>
          </w:p>
        </w:tc>
        <w:tc>
          <w:tcPr>
            <w:tcW w:w="2126" w:type="dxa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22D12" w:rsidRPr="00422D12" w:rsidTr="00EF75E2">
        <w:tc>
          <w:tcPr>
            <w:tcW w:w="1843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 trakcie zajęć</w:t>
            </w:r>
          </w:p>
        </w:tc>
        <w:tc>
          <w:tcPr>
            <w:tcW w:w="2126" w:type="dxa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22D12" w:rsidRPr="00422D12" w:rsidTr="00EF75E2">
        <w:tc>
          <w:tcPr>
            <w:tcW w:w="1843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22D12" w:rsidRPr="00422D12" w:rsidRDefault="00422D12" w:rsidP="00422D1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22D12" w:rsidRPr="00422D12" w:rsidRDefault="00422D12" w:rsidP="00422D1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22D12" w:rsidRPr="00422D12" w:rsidTr="00EF75E2">
        <w:tc>
          <w:tcPr>
            <w:tcW w:w="9670" w:type="dxa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czyli uzyskania przynajmniej oceny 3,0 jest otrzymanie minimum 51% punktów przypisanych dla następujących aktywności:</w:t>
            </w:r>
          </w:p>
          <w:p w:rsidR="00422D12" w:rsidRPr="00422D12" w:rsidRDefault="00422D12" w:rsidP="00EF75E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kolokwium (70% wartości końcowej oceny),</w:t>
            </w:r>
          </w:p>
          <w:p w:rsidR="00422D12" w:rsidRPr="00422D12" w:rsidRDefault="00422D12" w:rsidP="00EF75E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projekt zespołowy (25% wartości końcowej oceny),</w:t>
            </w:r>
          </w:p>
          <w:p w:rsidR="00422D12" w:rsidRPr="00422D12" w:rsidRDefault="00422D12" w:rsidP="00EF75E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ocena aktywności i przygotowania do zajęć na podstawie zadanej literatury (5% wartości końcowej oceny).</w:t>
            </w:r>
          </w:p>
        </w:tc>
      </w:tr>
    </w:tbl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22D12" w:rsidRPr="00422D12" w:rsidRDefault="00422D12" w:rsidP="00422D1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422D1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422D12" w:rsidRPr="00422D12" w:rsidTr="00EF75E2">
        <w:tc>
          <w:tcPr>
            <w:tcW w:w="4962" w:type="dxa"/>
            <w:vAlign w:val="center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22D1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22D1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22D12" w:rsidRPr="00422D12" w:rsidTr="00EF75E2">
        <w:tc>
          <w:tcPr>
            <w:tcW w:w="4962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422D12" w:rsidRPr="00422D12" w:rsidTr="00EF75E2">
        <w:tc>
          <w:tcPr>
            <w:tcW w:w="4962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422D12" w:rsidRPr="00422D12" w:rsidTr="00EF75E2">
        <w:tc>
          <w:tcPr>
            <w:tcW w:w="4962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422D12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422D12">
              <w:rPr>
                <w:rFonts w:ascii="Corbel" w:hAnsi="Corbel"/>
                <w:sz w:val="21"/>
                <w:szCs w:val="21"/>
              </w:rPr>
              <w:t xml:space="preserve"> – praca własna studenta (przygotowanie się do zajęć, kolokwium, egzaminu, realizacja pracy zespołowej )</w:t>
            </w:r>
          </w:p>
        </w:tc>
        <w:tc>
          <w:tcPr>
            <w:tcW w:w="4677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422D12" w:rsidRPr="00422D12" w:rsidTr="00EF75E2">
        <w:tc>
          <w:tcPr>
            <w:tcW w:w="4962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22D12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422D12" w:rsidRPr="00422D12" w:rsidTr="00EF75E2">
        <w:tc>
          <w:tcPr>
            <w:tcW w:w="4962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422D1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22D12" w:rsidRPr="00422D12" w:rsidRDefault="00422D12" w:rsidP="00EF75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22D12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422D12" w:rsidRPr="00422D12" w:rsidRDefault="00422D12" w:rsidP="00422D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422D1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422D12" w:rsidRPr="00422D12" w:rsidRDefault="00422D12" w:rsidP="00422D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422D12" w:rsidRPr="00422D12" w:rsidTr="00EF75E2">
        <w:trPr>
          <w:trHeight w:val="397"/>
        </w:trPr>
        <w:tc>
          <w:tcPr>
            <w:tcW w:w="2359" w:type="pct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22D12" w:rsidRPr="00422D12" w:rsidTr="00EF75E2">
        <w:trPr>
          <w:trHeight w:val="397"/>
        </w:trPr>
        <w:tc>
          <w:tcPr>
            <w:tcW w:w="2359" w:type="pct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22D12" w:rsidRPr="00422D12" w:rsidRDefault="00422D12" w:rsidP="00EF75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22D12" w:rsidRPr="00422D12" w:rsidRDefault="00422D12" w:rsidP="00422D1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422D1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2D12" w:rsidRPr="00422D12" w:rsidTr="00EF75E2">
        <w:trPr>
          <w:trHeight w:val="397"/>
        </w:trPr>
        <w:tc>
          <w:tcPr>
            <w:tcW w:w="5000" w:type="pct"/>
          </w:tcPr>
          <w:p w:rsidR="00422D12" w:rsidRPr="00422D12" w:rsidRDefault="00422D12" w:rsidP="00EF75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22D12" w:rsidRPr="00422D12" w:rsidRDefault="00422D12" w:rsidP="00EF75E2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Piecuch T., Przedsiębiorczość. Podstawy teoretyczne, Wydawnictwo C.H. Beck, Warszawa 2013.</w:t>
            </w:r>
          </w:p>
          <w:p w:rsidR="00422D12" w:rsidRPr="00422D12" w:rsidRDefault="00422D12" w:rsidP="00EF75E2">
            <w:pPr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Corbel" w:hAnsi="Corbel"/>
                <w:sz w:val="21"/>
                <w:szCs w:val="21"/>
              </w:rPr>
            </w:pPr>
            <w:r w:rsidRPr="00422D12">
              <w:rPr>
                <w:rFonts w:ascii="Corbel" w:hAnsi="Corbel"/>
                <w:sz w:val="21"/>
                <w:szCs w:val="21"/>
              </w:rPr>
              <w:t>Czubała A. red., Podstawy marketingu, PWE, Warszawa 2013.</w:t>
            </w:r>
          </w:p>
        </w:tc>
      </w:tr>
      <w:tr w:rsidR="00422D12" w:rsidRPr="00422D12" w:rsidTr="00EF75E2">
        <w:trPr>
          <w:trHeight w:val="397"/>
        </w:trPr>
        <w:tc>
          <w:tcPr>
            <w:tcW w:w="5000" w:type="pct"/>
          </w:tcPr>
          <w:p w:rsidR="00422D12" w:rsidRPr="00422D12" w:rsidRDefault="00422D12" w:rsidP="00EF7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22D12" w:rsidRPr="00422D12" w:rsidRDefault="00422D12" w:rsidP="00EF75E2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Mruk H., Marketing. Satysfakcja klienta i rozwój przedsiębiorstwa, Wydawnictwo Naukowe PWN, Warszawa 2012.</w:t>
            </w:r>
          </w:p>
          <w:p w:rsidR="00422D12" w:rsidRPr="00422D12" w:rsidRDefault="00422D12" w:rsidP="00EF75E2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Cieślik J., Przedsiębiorczość dla ambitnych Jak uruchomić własny biznes, Wydawnictwo </w:t>
            </w:r>
            <w:proofErr w:type="spellStart"/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  <w:p w:rsidR="00422D12" w:rsidRPr="00422D12" w:rsidRDefault="00422D12" w:rsidP="00EF75E2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proofErr w:type="spellStart"/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Kotler</w:t>
            </w:r>
            <w:proofErr w:type="spellEnd"/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P., Keller K.L., Marketing, </w:t>
            </w:r>
            <w:proofErr w:type="spellStart"/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Rebis</w:t>
            </w:r>
            <w:proofErr w:type="spellEnd"/>
            <w:r w:rsidRPr="00422D12">
              <w:rPr>
                <w:rFonts w:ascii="Corbel" w:hAnsi="Corbel"/>
                <w:b w:val="0"/>
                <w:smallCaps w:val="0"/>
                <w:sz w:val="21"/>
                <w:szCs w:val="21"/>
              </w:rPr>
              <w:t>, Poznań 2012.</w:t>
            </w:r>
          </w:p>
        </w:tc>
      </w:tr>
    </w:tbl>
    <w:p w:rsidR="00422D12" w:rsidRPr="008673DF" w:rsidRDefault="00422D12" w:rsidP="00422D12">
      <w:pPr>
        <w:spacing w:after="0" w:line="240" w:lineRule="auto"/>
        <w:rPr>
          <w:rFonts w:ascii="Corbel" w:hAnsi="Corbel"/>
          <w:b/>
          <w:bCs/>
          <w:sz w:val="21"/>
          <w:szCs w:val="21"/>
          <w:lang w:val="en-US"/>
        </w:rPr>
      </w:pPr>
    </w:p>
    <w:p w:rsidR="008003FC" w:rsidRPr="00422D12" w:rsidRDefault="008003FC" w:rsidP="00422D12"/>
    <w:sectPr w:rsidR="008003FC" w:rsidRPr="00422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23369"/>
    <w:multiLevelType w:val="hybridMultilevel"/>
    <w:tmpl w:val="B9883168"/>
    <w:lvl w:ilvl="0" w:tplc="485A26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75432"/>
    <w:multiLevelType w:val="hybridMultilevel"/>
    <w:tmpl w:val="A662A812"/>
    <w:lvl w:ilvl="0" w:tplc="4134ED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A6AC4"/>
    <w:multiLevelType w:val="hybridMultilevel"/>
    <w:tmpl w:val="649C2BDE"/>
    <w:lvl w:ilvl="0" w:tplc="2E443B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1D"/>
    <w:rsid w:val="00006B1F"/>
    <w:rsid w:val="00422D12"/>
    <w:rsid w:val="0045581D"/>
    <w:rsid w:val="00752633"/>
    <w:rsid w:val="008003FC"/>
    <w:rsid w:val="00E02389"/>
    <w:rsid w:val="00EA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F81FE-8578-4817-95B2-042EC65D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581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581D"/>
    <w:pPr>
      <w:ind w:left="720"/>
      <w:contextualSpacing/>
    </w:pPr>
  </w:style>
  <w:style w:type="paragraph" w:customStyle="1" w:styleId="Default">
    <w:name w:val="Default"/>
    <w:rsid w:val="004558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5581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55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5581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55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55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5581D"/>
  </w:style>
  <w:style w:type="paragraph" w:customStyle="1" w:styleId="centralniewrubryce">
    <w:name w:val="centralnie w rubryce"/>
    <w:basedOn w:val="Normalny"/>
    <w:rsid w:val="00455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5581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5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581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910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8</cp:revision>
  <dcterms:created xsi:type="dcterms:W3CDTF">2019-02-04T10:33:00Z</dcterms:created>
  <dcterms:modified xsi:type="dcterms:W3CDTF">2019-02-11T10:50:00Z</dcterms:modified>
</cp:coreProperties>
</file>