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F475B65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C6C19" w:rsidRPr="00D350D9">
        <w:rPr>
          <w:rFonts w:ascii="Corbel" w:hAnsi="Corbel"/>
          <w:bCs/>
          <w:i/>
        </w:rPr>
        <w:t xml:space="preserve">Załącznik nr 1.5 do Zarządzenia Rektora UR  nr </w:t>
      </w:r>
      <w:r w:rsidR="00AC6C19">
        <w:rPr>
          <w:rFonts w:ascii="Corbel" w:hAnsi="Corbel"/>
          <w:bCs/>
          <w:i/>
        </w:rPr>
        <w:t>7</w:t>
      </w:r>
      <w:r w:rsidR="00AC6C19" w:rsidRPr="00D350D9">
        <w:rPr>
          <w:rFonts w:ascii="Corbel" w:hAnsi="Corbel"/>
          <w:bCs/>
          <w:i/>
        </w:rPr>
        <w:t>/20</w:t>
      </w:r>
      <w:r w:rsidR="00AC6C19">
        <w:rPr>
          <w:rFonts w:ascii="Corbel" w:hAnsi="Corbel"/>
          <w:bCs/>
          <w:i/>
        </w:rPr>
        <w:t>23</w:t>
      </w:r>
    </w:p>
    <w:p w14:paraId="3B43AE33" w14:textId="77777777" w:rsidR="00AC6C19" w:rsidRPr="00E960BB" w:rsidRDefault="00AC6C1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4A15473" w:rsidR="00DC6D0C" w:rsidRPr="00FC6B9D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C6B9D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C6B9D">
        <w:rPr>
          <w:rFonts w:ascii="Corbel" w:hAnsi="Corbel"/>
          <w:b/>
          <w:smallCaps/>
          <w:sz w:val="24"/>
          <w:szCs w:val="24"/>
        </w:rPr>
        <w:t xml:space="preserve"> </w:t>
      </w:r>
      <w:r w:rsidR="00C90368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31CE2442" w:rsidR="00445970" w:rsidRPr="00FC6B9D" w:rsidRDefault="00445970" w:rsidP="00182C9E">
      <w:pPr>
        <w:spacing w:after="0" w:line="240" w:lineRule="exact"/>
        <w:jc w:val="center"/>
        <w:rPr>
          <w:rFonts w:ascii="Corbel" w:hAnsi="Corbel"/>
          <w:bCs/>
          <w:sz w:val="20"/>
          <w:szCs w:val="20"/>
        </w:rPr>
      </w:pPr>
      <w:r w:rsidRPr="00FC6B9D">
        <w:rPr>
          <w:rFonts w:ascii="Corbel" w:hAnsi="Corbel"/>
          <w:bCs/>
          <w:sz w:val="20"/>
          <w:szCs w:val="20"/>
        </w:rPr>
        <w:t xml:space="preserve">Rok akademicki   </w:t>
      </w:r>
      <w:r w:rsidR="00182C9E" w:rsidRPr="00FC6B9D">
        <w:rPr>
          <w:rFonts w:ascii="Corbel" w:hAnsi="Corbel"/>
          <w:bCs/>
          <w:sz w:val="20"/>
          <w:szCs w:val="20"/>
        </w:rPr>
        <w:t>202</w:t>
      </w:r>
      <w:r w:rsidR="00C90368">
        <w:rPr>
          <w:rFonts w:ascii="Corbel" w:hAnsi="Corbel"/>
          <w:bCs/>
          <w:sz w:val="20"/>
          <w:szCs w:val="20"/>
        </w:rPr>
        <w:t>5</w:t>
      </w:r>
      <w:r w:rsidR="00182C9E" w:rsidRPr="00FC6B9D">
        <w:rPr>
          <w:rFonts w:ascii="Corbel" w:hAnsi="Corbel"/>
          <w:bCs/>
          <w:sz w:val="20"/>
          <w:szCs w:val="20"/>
        </w:rPr>
        <w:t>/202</w:t>
      </w:r>
      <w:r w:rsidR="00C90368">
        <w:rPr>
          <w:rFonts w:ascii="Corbel" w:hAnsi="Corbel"/>
          <w:bCs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640272A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Portfel inwestycyjny i inżynieria finansowa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F9B66DD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6EFD">
              <w:rPr>
                <w:rFonts w:ascii="Corbel" w:hAnsi="Corbel"/>
                <w:b w:val="0"/>
                <w:sz w:val="21"/>
                <w:szCs w:val="21"/>
              </w:rPr>
              <w:t>FiR/II/A.3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880B1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62DDA4D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16A4F6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2B65E1F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8BA2FBF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068017F" w:rsidR="0085747A" w:rsidRPr="009C54AE" w:rsidRDefault="00E54754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3C46F6" w:rsidR="00923D7D" w:rsidRPr="009C54AE" w:rsidRDefault="00E54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B7502D8" w:rsidR="0085747A" w:rsidRPr="009C54AE" w:rsidRDefault="00F96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62E63313" w:rsidR="0085747A" w:rsidRDefault="00F9619C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BA28036" w:rsidR="003823BE" w:rsidRPr="009C54AE" w:rsidRDefault="00F9619C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gr </w:t>
            </w:r>
            <w:r w:rsidR="0012696A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6E71243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147AEC9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3823BE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966EF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DDCEC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517285" w14:textId="77777777" w:rsidR="00FC6B9D" w:rsidRPr="009C54AE" w:rsidRDefault="00FC6B9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458E53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451F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C71CF70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C291EB" w14:textId="77777777" w:rsidR="00FC6B9D" w:rsidRDefault="00FC6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3DEA73C" w:rsidR="009C54AE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386027" w:rsidR="0085747A" w:rsidRPr="009C54AE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161AB3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5BDCD05A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Poznanie istoty inżynierii finansowej oraz zasad wykorzystania  wybranych instrumentów rynku finansowego</w:t>
            </w:r>
          </w:p>
        </w:tc>
      </w:tr>
      <w:tr w:rsidR="003823BE" w:rsidRPr="00161AB3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823BE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161AB3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161AB3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161AB3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9C54AE" w14:paraId="2FAE894A" w14:textId="77777777" w:rsidTr="003823BE">
        <w:tc>
          <w:tcPr>
            <w:tcW w:w="1681" w:type="dxa"/>
          </w:tcPr>
          <w:p w14:paraId="48E5C6E7" w14:textId="6007AB6F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639899E2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Zna i rozumie istotę inżynierii finansowej, konstrukcji i wyceny portfela inwestycyjnego oraz zasady, koncepcje i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541D817D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9C54AE" w14:paraId="48B116A6" w14:textId="77777777" w:rsidTr="003823BE">
        <w:tc>
          <w:tcPr>
            <w:tcW w:w="1681" w:type="dxa"/>
          </w:tcPr>
          <w:p w14:paraId="55D5A65C" w14:textId="41BD435B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1E1A9EE" w:rsidR="003823BE" w:rsidRPr="009C54AE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portfela inwestycyjnego, analizuje zjawiska i procesy zachodzące w gospodarce i ocenia ich wpływ na wartość portfela oraz zasady inżynierii finansowej.</w:t>
            </w:r>
          </w:p>
        </w:tc>
        <w:tc>
          <w:tcPr>
            <w:tcW w:w="1865" w:type="dxa"/>
          </w:tcPr>
          <w:p w14:paraId="4A6DD19B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1A385E3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9C54AE" w14:paraId="32BADA47" w14:textId="77777777" w:rsidTr="003823BE">
        <w:tc>
          <w:tcPr>
            <w:tcW w:w="1681" w:type="dxa"/>
          </w:tcPr>
          <w:p w14:paraId="4CBEB17A" w14:textId="7924638E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F42A781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77891C3A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66EF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161AB3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6DD" w14:textId="2FDB1C33" w:rsidR="0012696A" w:rsidRPr="0012696A" w:rsidRDefault="0012696A" w:rsidP="00966EF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rynku finansowego oraz jego segmentów: rynku pieniężnego, </w:t>
            </w:r>
            <w:r w:rsidR="00966EFD">
              <w:rPr>
                <w:rFonts w:ascii="Corbel" w:hAnsi="Corbel"/>
                <w:sz w:val="24"/>
                <w:szCs w:val="24"/>
              </w:rPr>
              <w:t xml:space="preserve">            k</w:t>
            </w:r>
            <w:r w:rsidRPr="0012696A">
              <w:rPr>
                <w:rFonts w:ascii="Corbel" w:hAnsi="Corbel"/>
                <w:sz w:val="24"/>
                <w:szCs w:val="24"/>
              </w:rPr>
              <w:t>apitałowego, terminowego, walutowego oraz depozytowo-kredytowego.</w:t>
            </w:r>
          </w:p>
          <w:p w14:paraId="2086E0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Omówienie instrumentów finansowych i uczestników rynku finansowego</w:t>
            </w:r>
          </w:p>
          <w:p w14:paraId="716F48B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5546BC2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 xml:space="preserve">Rodzaje oraz funkcje papierów wartościowych, </w:t>
            </w:r>
          </w:p>
          <w:p w14:paraId="457734F5" w14:textId="15ABF178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161AB3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Analiza ilościowa w zarządzaniu portfelem</w:t>
            </w:r>
          </w:p>
          <w:p w14:paraId="268E1733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161AB3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161AB3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B3B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inwestycyjnym - akcje, obligacje</w:t>
            </w:r>
          </w:p>
          <w:p w14:paraId="497C708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45F617A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0CF734D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02B40D8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5076D41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Strategie zarządzania portfelem akcji </w:t>
            </w:r>
          </w:p>
          <w:p w14:paraId="79B297F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37C14D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4B9AE595" w14:textId="5A38C570" w:rsidR="00FD24AD" w:rsidRPr="00FD24AD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</w:tc>
      </w:tr>
      <w:tr w:rsidR="00FD24AD" w:rsidRPr="00161AB3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33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Geneza i zastosowanie inżynierii finansowej. </w:t>
            </w:r>
          </w:p>
          <w:p w14:paraId="2A078A9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Przyczyny współczesnych kryzysów na rynkach finansowych. </w:t>
            </w:r>
          </w:p>
          <w:p w14:paraId="7E5BB5F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Instrumenty pochodne i związane z nimi źródła ryzyka. </w:t>
            </w:r>
          </w:p>
          <w:p w14:paraId="1F61988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7E25695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7C479AA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6203F2EB" w14:textId="77777777" w:rsidR="0012696A" w:rsidRPr="0012696A" w:rsidRDefault="0012696A" w:rsidP="00FC6B9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  <w:p w14:paraId="361685D6" w14:textId="4C8B18E2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spekulacji, arbitrażu i hedgingu.</w:t>
            </w:r>
          </w:p>
        </w:tc>
      </w:tr>
      <w:tr w:rsidR="00FD24AD" w:rsidRPr="00161AB3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88E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Wykorzystanie instrumentów pochodnych w inżynierii finansowej</w:t>
            </w:r>
          </w:p>
          <w:p w14:paraId="6096D377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Kontrakty forward i futures. </w:t>
            </w:r>
          </w:p>
          <w:p w14:paraId="153B5AF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Swapy procentowe. </w:t>
            </w:r>
          </w:p>
          <w:p w14:paraId="211C99C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Opcje. Strategie opcyjne. Instrumenty egzotyczne.</w:t>
            </w:r>
          </w:p>
          <w:p w14:paraId="05EE02FC" w14:textId="7F7D8060" w:rsidR="00FD24AD" w:rsidRPr="00FD24AD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Model dwumianowy. Wzór Blacka-S</w:t>
            </w:r>
            <w:r>
              <w:rPr>
                <w:rFonts w:ascii="Corbel" w:hAnsi="Corbel"/>
                <w:sz w:val="24"/>
                <w:szCs w:val="24"/>
              </w:rPr>
              <w:t xml:space="preserve">cholesa. Parametry zmienności. </w:t>
            </w:r>
          </w:p>
        </w:tc>
      </w:tr>
      <w:tr w:rsidR="00FD24AD" w:rsidRPr="00161AB3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702AF7" w:rsidR="00FD24AD" w:rsidRPr="00161AB3" w:rsidRDefault="0012696A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9C54AE" w14:paraId="1C230FF5" w14:textId="77777777" w:rsidTr="00FD24AD">
        <w:tc>
          <w:tcPr>
            <w:tcW w:w="9520" w:type="dxa"/>
          </w:tcPr>
          <w:p w14:paraId="59B5524C" w14:textId="68E310C8" w:rsidR="00FD24AD" w:rsidRPr="0012696A" w:rsidRDefault="0012696A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oraz depozytowo-kredytowego.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istoty oraz rodzajów instrumentów finansowych, porównanie dostępności omawianych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9C54AE" w14:paraId="7BDBAFB0" w14:textId="77777777" w:rsidTr="00FD24AD">
        <w:tc>
          <w:tcPr>
            <w:tcW w:w="9520" w:type="dxa"/>
          </w:tcPr>
          <w:p w14:paraId="0827D9D0" w14:textId="0A4A43B0" w:rsidR="00FD24AD" w:rsidRPr="009C54AE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9C54AE" w14:paraId="52C24D11" w14:textId="77777777" w:rsidTr="00FD24AD">
        <w:tc>
          <w:tcPr>
            <w:tcW w:w="9520" w:type="dxa"/>
          </w:tcPr>
          <w:p w14:paraId="7348097D" w14:textId="77777777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9C54AE" w14:paraId="46EBA714" w14:textId="77777777" w:rsidTr="00FD24AD">
        <w:tc>
          <w:tcPr>
            <w:tcW w:w="9520" w:type="dxa"/>
          </w:tcPr>
          <w:p w14:paraId="5F54160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9C54AE" w14:paraId="0EF1D39C" w14:textId="77777777" w:rsidTr="00FD24AD">
        <w:tc>
          <w:tcPr>
            <w:tcW w:w="9520" w:type="dxa"/>
          </w:tcPr>
          <w:p w14:paraId="1A38DF7A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9C54AE" w14:paraId="04CB46F8" w14:textId="77777777" w:rsidTr="00FD24AD">
        <w:tc>
          <w:tcPr>
            <w:tcW w:w="9520" w:type="dxa"/>
          </w:tcPr>
          <w:p w14:paraId="1F68EDFF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Wykorzystanie instrumentów pochodnych w inżynierii finansowej</w:t>
            </w:r>
          </w:p>
          <w:p w14:paraId="177F085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zasad wykorzystania kontraktów terminowych forward i futures, swapów procentowych oraz opcji w konstrukcji portfela inwestycyjnego i inżynierii finansowej. </w:t>
            </w:r>
          </w:p>
          <w:p w14:paraId="6E4FC1D0" w14:textId="7F707827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rozwoju polskiego rynku derywatów, analiza ich dostępności.</w:t>
            </w:r>
          </w:p>
        </w:tc>
      </w:tr>
      <w:tr w:rsidR="00FD24AD" w:rsidRPr="009C54AE" w14:paraId="3452E04E" w14:textId="77777777" w:rsidTr="00FD24AD">
        <w:tc>
          <w:tcPr>
            <w:tcW w:w="9520" w:type="dxa"/>
          </w:tcPr>
          <w:p w14:paraId="4C3F52A8" w14:textId="293D2034" w:rsidR="00FD24AD" w:rsidRPr="009C54AE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Instrumenty rynku walutowego w inżynierii finansowej. Omówienie zasad funkcjonowania światowego rynku walutowego. Rynek instrumentów pochodnych - terminowe kursy walutowe. Walutowe instrumenty pochodne i ich wykorzystanie w konstrukcji portfelu inwestycyjnego.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sz w:val="24"/>
                <w:szCs w:val="24"/>
              </w:rPr>
              <w:t>Rozwój finansowych instrumentów pochodnych i ich wpływ na bezpieczeństwo światowego rynku finansowego.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2504AD9B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161AB3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69D511F6" w:rsidR="00F24FFC" w:rsidRPr="00161AB3" w:rsidRDefault="00FC6B9D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77F27B0" w14:textId="2413A59D" w:rsidR="00923D7D" w:rsidRPr="009C54AE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gzamin pisemny </w:t>
            </w:r>
            <w:r w:rsidR="00CC05C8" w:rsidRPr="00CC05C8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20CB6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60CF86CC" w:rsidR="00FC6B9D" w:rsidRPr="009C54AE" w:rsidRDefault="00FC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3,0 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zaliczenie</w:t>
            </w:r>
            <w:r w:rsidR="00E547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023D" w:rsidRPr="009C54AE" w14:paraId="41D7342E" w14:textId="77777777" w:rsidTr="00D45B17">
        <w:tc>
          <w:tcPr>
            <w:tcW w:w="4902" w:type="dxa"/>
          </w:tcPr>
          <w:p w14:paraId="336857A1" w14:textId="7F8A18CA" w:rsidR="0092023D" w:rsidRPr="009C54AE" w:rsidRDefault="0092023D" w:rsidP="00AC6C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5B833B0E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2023D" w:rsidRPr="009C54AE" w14:paraId="14748C99" w14:textId="77777777" w:rsidTr="00D45B17">
        <w:tc>
          <w:tcPr>
            <w:tcW w:w="4902" w:type="dxa"/>
          </w:tcPr>
          <w:p w14:paraId="1CFDED8C" w14:textId="77777777" w:rsidR="0092023D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548ED5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2023D" w:rsidRPr="009C54AE" w14:paraId="41367D30" w14:textId="77777777" w:rsidTr="00D45B17">
        <w:tc>
          <w:tcPr>
            <w:tcW w:w="4902" w:type="dxa"/>
          </w:tcPr>
          <w:p w14:paraId="4F573F09" w14:textId="0692E8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18" w:type="dxa"/>
            <w:vAlign w:val="center"/>
          </w:tcPr>
          <w:p w14:paraId="611A18CE" w14:textId="7285A43B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92023D" w14:paraId="45A3E8D7" w14:textId="77777777" w:rsidTr="00D45B17">
        <w:tc>
          <w:tcPr>
            <w:tcW w:w="4902" w:type="dxa"/>
          </w:tcPr>
          <w:p w14:paraId="626D78EC" w14:textId="77777777" w:rsidR="00D45B17" w:rsidRPr="0092023D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F90BC08" w:rsidR="00D45B17" w:rsidRPr="0092023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DF24B50" w:rsidR="00D45B17" w:rsidRPr="00966EF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2023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Portfel inwestycyjny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Wyd. 2 popr. i rozsz. - Poznań : Wydawnictwo Uniwersytetu Ekonomicznego,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I.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(red.), Inwestycje alternatywne, CeDeWu , Warszawa 2008</w:t>
            </w:r>
          </w:p>
          <w:p w14:paraId="1CF92F49" w14:textId="25049BFD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lastRenderedPageBreak/>
              <w:t>Taleb N.N., Ślepy traf. Rola przypadku w sukcesie finansowym, GWP, Gdańsk 2006</w:t>
            </w:r>
          </w:p>
          <w:p w14:paraId="1F17CF12" w14:textId="7FA4608A" w:rsidR="00D45B17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6CD56" w14:textId="77777777" w:rsidR="000A0320" w:rsidRDefault="000A0320" w:rsidP="00C16ABF">
      <w:pPr>
        <w:spacing w:after="0" w:line="240" w:lineRule="auto"/>
      </w:pPr>
      <w:r>
        <w:separator/>
      </w:r>
    </w:p>
  </w:endnote>
  <w:endnote w:type="continuationSeparator" w:id="0">
    <w:p w14:paraId="0902A8F6" w14:textId="77777777" w:rsidR="000A0320" w:rsidRDefault="000A03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89508" w14:textId="77777777" w:rsidR="000A0320" w:rsidRDefault="000A0320" w:rsidP="00C16ABF">
      <w:pPr>
        <w:spacing w:after="0" w:line="240" w:lineRule="auto"/>
      </w:pPr>
      <w:r>
        <w:separator/>
      </w:r>
    </w:p>
  </w:footnote>
  <w:footnote w:type="continuationSeparator" w:id="0">
    <w:p w14:paraId="661CCD3C" w14:textId="77777777" w:rsidR="000A0320" w:rsidRDefault="000A032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EF"/>
    <w:rsid w:val="00084C12"/>
    <w:rsid w:val="0009462C"/>
    <w:rsid w:val="00094B12"/>
    <w:rsid w:val="00096C46"/>
    <w:rsid w:val="000A0320"/>
    <w:rsid w:val="000A296F"/>
    <w:rsid w:val="000A2A28"/>
    <w:rsid w:val="000A3CDF"/>
    <w:rsid w:val="000B192D"/>
    <w:rsid w:val="000B28EE"/>
    <w:rsid w:val="000B3E37"/>
    <w:rsid w:val="000D04B0"/>
    <w:rsid w:val="000E07BF"/>
    <w:rsid w:val="000F1C57"/>
    <w:rsid w:val="000F5615"/>
    <w:rsid w:val="00114BCD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00644"/>
    <w:rsid w:val="002144C0"/>
    <w:rsid w:val="00215FA7"/>
    <w:rsid w:val="00217BDD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B8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6D"/>
    <w:rsid w:val="00517C63"/>
    <w:rsid w:val="005363C4"/>
    <w:rsid w:val="00536BDE"/>
    <w:rsid w:val="00543ACC"/>
    <w:rsid w:val="0056696D"/>
    <w:rsid w:val="00574A9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18C"/>
    <w:rsid w:val="00647FA8"/>
    <w:rsid w:val="00650C5F"/>
    <w:rsid w:val="00654934"/>
    <w:rsid w:val="006620D9"/>
    <w:rsid w:val="00671958"/>
    <w:rsid w:val="00675843"/>
    <w:rsid w:val="00692D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59D4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3D"/>
    <w:rsid w:val="00923D7D"/>
    <w:rsid w:val="0092438D"/>
    <w:rsid w:val="00942064"/>
    <w:rsid w:val="00946B94"/>
    <w:rsid w:val="009508DF"/>
    <w:rsid w:val="00950DAC"/>
    <w:rsid w:val="00954A07"/>
    <w:rsid w:val="00966EFD"/>
    <w:rsid w:val="00971D1C"/>
    <w:rsid w:val="00975B4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451F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C6C1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0368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75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619C"/>
    <w:rsid w:val="00F974DA"/>
    <w:rsid w:val="00FA46E5"/>
    <w:rsid w:val="00FB7DBA"/>
    <w:rsid w:val="00FC1C25"/>
    <w:rsid w:val="00FC3F45"/>
    <w:rsid w:val="00FC4B40"/>
    <w:rsid w:val="00FC6B9D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B89E6-B611-41EB-BAB0-ACC781C367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E9D69-2398-440C-910C-729C9A61E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D1D12F-D7B8-45E0-9FD2-A01D9C6043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CE35CB-5015-457B-A844-571C23E6F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1436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2020-10-27T08:52:00Z</dcterms:created>
  <dcterms:modified xsi:type="dcterms:W3CDTF">2024-07-26T06:25:00Z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