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A5A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7E96B8CC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33A30">
        <w:rPr>
          <w:rFonts w:ascii="Corbel" w:hAnsi="Corbel"/>
          <w:b/>
          <w:smallCaps/>
          <w:sz w:val="24"/>
          <w:szCs w:val="24"/>
        </w:rPr>
        <w:t>2019-2021</w:t>
      </w:r>
    </w:p>
    <w:p w14:paraId="0E7F7276" w14:textId="32E55ECD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</w:t>
      </w:r>
      <w:r w:rsidR="00D33A30">
        <w:rPr>
          <w:rFonts w:ascii="Corbel" w:hAnsi="Corbel"/>
          <w:sz w:val="20"/>
          <w:szCs w:val="20"/>
        </w:rPr>
        <w:t>19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</w:t>
      </w:r>
      <w:r w:rsidR="00D33A30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22C9833C" w:rsidR="0085747A" w:rsidRPr="009C54AE" w:rsidRDefault="00496D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 xml:space="preserve">rof. dr hab. Georgij </w:t>
            </w:r>
            <w:proofErr w:type="spellStart"/>
            <w:r w:rsidR="00557449">
              <w:rPr>
                <w:rFonts w:ascii="Corbel" w:hAnsi="Corbel"/>
                <w:b w:val="0"/>
                <w:sz w:val="24"/>
                <w:szCs w:val="24"/>
              </w:rPr>
              <w:t>Cherevko</w:t>
            </w:r>
            <w:proofErr w:type="spellEnd"/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2E35DBF7" w:rsidR="00015B8F" w:rsidRPr="009C54AE" w:rsidRDefault="000657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703B8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2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3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lastRenderedPageBreak/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Polityka pieniężna a stabilność systemu finansowego – nadzór bankowy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makroostrożnościowy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Europejski Bank Centralny i operacje euro systemu. Polska w strefie euro - korzyści i </w:t>
            </w:r>
            <w:proofErr w:type="spellStart"/>
            <w:r w:rsidRPr="006C5C46">
              <w:rPr>
                <w:rFonts w:ascii="Corbel" w:hAnsi="Corbel"/>
                <w:sz w:val="24"/>
                <w:szCs w:val="24"/>
              </w:rPr>
              <w:t>ryzyzka</w:t>
            </w:r>
            <w:proofErr w:type="spellEnd"/>
            <w:r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5C4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1B273C34" w:rsidR="0085747A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4341C3FD" w:rsidR="00C61DC5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raca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M. Brzoza-Brzezina, Polska polityka pieniężna. Badania teoretyczne i empiryczne, Wyd. </w:t>
            </w:r>
            <w:proofErr w:type="spellStart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6876A5">
              <w:rPr>
                <w:rFonts w:ascii="Corbel" w:hAnsi="Corbel"/>
                <w:b w:val="0"/>
                <w:smallCaps w:val="0"/>
                <w:szCs w:val="24"/>
              </w:rPr>
              <w:t>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 xml:space="preserve">, Bank Centralny na współczesnym rynku pieniężnym. Dyscyplina regulacyjna, skuteczność, instrumenty, Wyd. </w:t>
            </w:r>
            <w:proofErr w:type="spellStart"/>
            <w:r w:rsidRPr="00B52EB3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B52EB3">
              <w:rPr>
                <w:rFonts w:ascii="Corbel" w:hAnsi="Corbel"/>
                <w:b w:val="0"/>
                <w:smallCaps w:val="0"/>
                <w:szCs w:val="24"/>
              </w:rPr>
              <w:t>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067C2" w14:textId="77777777" w:rsidR="00952573" w:rsidRDefault="00952573" w:rsidP="00C16ABF">
      <w:pPr>
        <w:spacing w:after="0" w:line="240" w:lineRule="auto"/>
      </w:pPr>
      <w:r>
        <w:separator/>
      </w:r>
    </w:p>
  </w:endnote>
  <w:endnote w:type="continuationSeparator" w:id="0">
    <w:p w14:paraId="752B2242" w14:textId="77777777" w:rsidR="00952573" w:rsidRDefault="009525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F6F2C" w14:textId="77777777" w:rsidR="00952573" w:rsidRDefault="00952573" w:rsidP="00C16ABF">
      <w:pPr>
        <w:spacing w:after="0" w:line="240" w:lineRule="auto"/>
      </w:pPr>
      <w:r>
        <w:separator/>
      </w:r>
    </w:p>
  </w:footnote>
  <w:footnote w:type="continuationSeparator" w:id="0">
    <w:p w14:paraId="639993D3" w14:textId="77777777" w:rsidR="00952573" w:rsidRDefault="00952573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657E1"/>
    <w:rsid w:val="00070ED6"/>
    <w:rsid w:val="000742DC"/>
    <w:rsid w:val="00075FA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96D85"/>
    <w:rsid w:val="004A3EEA"/>
    <w:rsid w:val="004A4D1F"/>
    <w:rsid w:val="004B255E"/>
    <w:rsid w:val="004B3F7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EC5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5D65"/>
    <w:rsid w:val="006F0ABB"/>
    <w:rsid w:val="006F1282"/>
    <w:rsid w:val="006F1FBC"/>
    <w:rsid w:val="006F31E2"/>
    <w:rsid w:val="00703B8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73"/>
    <w:rsid w:val="00954A07"/>
    <w:rsid w:val="0096633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3A30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8CC850-B0FB-406F-B8F2-D521884E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881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2020-10-22T20:14:00Z</dcterms:created>
  <dcterms:modified xsi:type="dcterms:W3CDTF">2021-11-05T13:16:00Z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