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F8FBF95" w14:textId="77777777" w:rsidR="00AD0501" w:rsidRDefault="0071620A" w:rsidP="00AD050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AD050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6A743604" w14:textId="1E199EF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D0501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AD0501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B4677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 xml:space="preserve">lub z wykorzystaniem platformy Ms </w:t>
      </w:r>
      <w:proofErr w:type="spellStart"/>
      <w:r w:rsidR="1B101EA1" w:rsidRPr="73706642">
        <w:rPr>
          <w:rFonts w:ascii="Corbel" w:hAnsi="Corbel"/>
        </w:rPr>
        <w:t>Teams</w:t>
      </w:r>
      <w:proofErr w:type="spellEnd"/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1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1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3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Mitręga M., Marketing relacji. Teoria i praktyka,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5" w:name="_Toc488151950"/>
            <w:bookmarkEnd w:id="4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2. Dembińska-Cyran I., Hołub-Iwan J., Perenc J., Zarządzanie relacjami z klientem,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  <w:bookmarkEnd w:id="5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 xml:space="preserve">Wereda W., Zarządzanie relacjami z klientem (CRM) a postępowanie nabywców na rynku usług, Wyd. </w:t>
            </w:r>
            <w:proofErr w:type="spellStart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C956F" w14:textId="77777777" w:rsidR="008D7B2D" w:rsidRDefault="008D7B2D" w:rsidP="00C16ABF">
      <w:pPr>
        <w:spacing w:after="0" w:line="240" w:lineRule="auto"/>
      </w:pPr>
      <w:r>
        <w:separator/>
      </w:r>
    </w:p>
  </w:endnote>
  <w:endnote w:type="continuationSeparator" w:id="0">
    <w:p w14:paraId="66026755" w14:textId="77777777" w:rsidR="008D7B2D" w:rsidRDefault="008D7B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DB92" w14:textId="77777777" w:rsidR="008D7B2D" w:rsidRDefault="008D7B2D" w:rsidP="00C16ABF">
      <w:pPr>
        <w:spacing w:after="0" w:line="240" w:lineRule="auto"/>
      </w:pPr>
      <w:r>
        <w:separator/>
      </w:r>
    </w:p>
  </w:footnote>
  <w:footnote w:type="continuationSeparator" w:id="0">
    <w:p w14:paraId="68E3F9B7" w14:textId="77777777" w:rsidR="008D7B2D" w:rsidRDefault="008D7B2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2D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050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87E71E-AE3B-49E1-A2A9-7C14C112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851</Words>
  <Characters>5109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2020-12-15T14:33:00Z</dcterms:created>
  <dcterms:modified xsi:type="dcterms:W3CDTF">2021-11-08T08:05:00Z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