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26CE3C9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F63B8">
        <w:rPr>
          <w:rFonts w:ascii="Corbel" w:hAnsi="Corbel"/>
          <w:b/>
          <w:bCs/>
          <w:iCs/>
          <w:smallCaps/>
          <w:sz w:val="24"/>
          <w:szCs w:val="24"/>
        </w:rPr>
        <w:t>2020-202</w:t>
      </w:r>
      <w:r w:rsidR="00A6240C" w:rsidRPr="00AF63B8">
        <w:rPr>
          <w:rFonts w:ascii="Corbel" w:hAnsi="Corbel"/>
          <w:b/>
          <w:bCs/>
          <w:iCs/>
          <w:smallCaps/>
          <w:sz w:val="24"/>
          <w:szCs w:val="24"/>
        </w:rPr>
        <w:t>2</w:t>
      </w:r>
    </w:p>
    <w:p w14:paraId="6A743604" w14:textId="4FBF9A2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10D15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B10D15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E1B3576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RIA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066879" w:rsidR="0085747A" w:rsidRPr="009C54AE" w:rsidRDefault="00B10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2BF722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ACE8E60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938C2F4" w:rsidR="0085747A" w:rsidRPr="009C54AE" w:rsidRDefault="00447A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0438361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23FDE" w14:textId="6FDF9A2E" w:rsidR="009F7A74" w:rsidRDefault="002370E2" w:rsidP="00AF63B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6B6685C9" w14:textId="34479A6B" w:rsidR="002370E2" w:rsidRPr="009C54AE" w:rsidRDefault="002370E2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D7EBC7E" w:rsidR="003823BE" w:rsidRPr="00161AB3" w:rsidRDefault="00D412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03CF5C" w:rsidR="003823BE" w:rsidRPr="00161AB3" w:rsidRDefault="00D412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681BF4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943A66" w14:textId="77777777" w:rsidR="00AF63B8" w:rsidRPr="009C54AE" w:rsidRDefault="00AF63B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9D623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A8EF48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0ADDDD5B" w:rsidR="00E1719D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7C81ACCB" w14:textId="508FAC22" w:rsidR="00260CAB" w:rsidRPr="00091D88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Zaliczenie na ocenę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A183C2D" w:rsidR="0085747A" w:rsidRPr="009C54AE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0C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161AB3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161AB3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161AB3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161AB3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161AB3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091D88" w14:paraId="76324132" w14:textId="77777777" w:rsidTr="00C31456">
        <w:tc>
          <w:tcPr>
            <w:tcW w:w="1679" w:type="dxa"/>
          </w:tcPr>
          <w:p w14:paraId="3EA3AECA" w14:textId="74C9B2FC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 xml:space="preserve">K_W05 </w:t>
            </w:r>
          </w:p>
          <w:p w14:paraId="1954E11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K_W07</w:t>
            </w:r>
          </w:p>
          <w:p w14:paraId="684CF96A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K_W08</w:t>
            </w:r>
          </w:p>
          <w:p w14:paraId="4E88EE7E" w14:textId="1734813F" w:rsidR="00260CAB" w:rsidRPr="00260CAB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091D88" w14:paraId="175FF883" w14:textId="77777777" w:rsidTr="00C31456">
        <w:tc>
          <w:tcPr>
            <w:tcW w:w="1679" w:type="dxa"/>
          </w:tcPr>
          <w:p w14:paraId="00FC0AD0" w14:textId="5682E2CD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A2B08B6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przedsiębiorstwa, 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52C8B970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</w:p>
          <w:p w14:paraId="797EE529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K_U03</w:t>
            </w:r>
          </w:p>
          <w:p w14:paraId="142A502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K_U06</w:t>
            </w:r>
          </w:p>
          <w:p w14:paraId="4AA0D6DF" w14:textId="3652B8F9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K_U07</w:t>
            </w:r>
          </w:p>
        </w:tc>
      </w:tr>
      <w:tr w:rsidR="00260CAB" w:rsidRPr="00091D88" w14:paraId="54095297" w14:textId="77777777" w:rsidTr="00997ABE">
        <w:tc>
          <w:tcPr>
            <w:tcW w:w="1679" w:type="dxa"/>
          </w:tcPr>
          <w:p w14:paraId="57CD88B7" w14:textId="7F003003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6C52B211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357F747C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K_K01</w:t>
            </w:r>
          </w:p>
          <w:p w14:paraId="75A4978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K_K02</w:t>
            </w:r>
          </w:p>
          <w:p w14:paraId="4662B6BD" w14:textId="4656181E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42C8A3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48DF1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161AB3" w14:paraId="201CA313" w14:textId="77777777" w:rsidTr="00CA4CA8">
        <w:tc>
          <w:tcPr>
            <w:tcW w:w="9520" w:type="dxa"/>
          </w:tcPr>
          <w:p w14:paraId="2E7380B0" w14:textId="4FC2F3B5" w:rsidR="00260CAB" w:rsidRPr="00FD24AD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161AB3" w14:paraId="18A55654" w14:textId="77777777" w:rsidTr="00CA4CA8">
        <w:tc>
          <w:tcPr>
            <w:tcW w:w="9520" w:type="dxa"/>
          </w:tcPr>
          <w:p w14:paraId="06F8FA41" w14:textId="050C5461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161AB3" w14:paraId="0059C3FD" w14:textId="77777777" w:rsidTr="00CA4CA8">
        <w:tc>
          <w:tcPr>
            <w:tcW w:w="9520" w:type="dxa"/>
          </w:tcPr>
          <w:p w14:paraId="159B42AE" w14:textId="450DB6C0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logitowe w ocenie kondycji finansowej przedsiębiorstwa (modele M. Gruszczyńskiego, R. Jagiełło oraz A. Hołdy – wariant modeli sektorowych).</w:t>
            </w:r>
          </w:p>
        </w:tc>
      </w:tr>
      <w:tr w:rsidR="00260CAB" w:rsidRPr="00161AB3" w14:paraId="58D2477E" w14:textId="77777777" w:rsidTr="00CA4CA8">
        <w:tc>
          <w:tcPr>
            <w:tcW w:w="9520" w:type="dxa"/>
          </w:tcPr>
          <w:p w14:paraId="396E557C" w14:textId="3A28AF5A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161AB3" w14:paraId="6B680C52" w14:textId="77777777" w:rsidTr="00CA4CA8">
        <w:tc>
          <w:tcPr>
            <w:tcW w:w="9520" w:type="dxa"/>
          </w:tcPr>
          <w:p w14:paraId="227E895A" w14:textId="45DBF419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9C54AE" w14:paraId="52C24D11" w14:textId="77777777" w:rsidTr="00FD24AD">
        <w:tc>
          <w:tcPr>
            <w:tcW w:w="9520" w:type="dxa"/>
          </w:tcPr>
          <w:p w14:paraId="35EFFCCE" w14:textId="64DFBA30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9C54AE" w14:paraId="46EBA714" w14:textId="77777777" w:rsidTr="00FD24AD">
        <w:tc>
          <w:tcPr>
            <w:tcW w:w="9520" w:type="dxa"/>
          </w:tcPr>
          <w:p w14:paraId="30B911C6" w14:textId="13AB7F8F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logitowych w ocenie kondycji finansowej przedsiębiorstwa (modele M. Gruszczyńskiego, R. Jagiełło oraz A. Hołdy – wariant modeli sektorowych).</w:t>
            </w:r>
          </w:p>
        </w:tc>
      </w:tr>
      <w:tr w:rsidR="00260CAB" w:rsidRPr="009C54AE" w14:paraId="0EF1D39C" w14:textId="77777777" w:rsidTr="00213D65">
        <w:tc>
          <w:tcPr>
            <w:tcW w:w="9520" w:type="dxa"/>
          </w:tcPr>
          <w:p w14:paraId="59759569" w14:textId="58A48651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9C54AE" w14:paraId="04CB46F8" w14:textId="77777777" w:rsidTr="00213D65">
        <w:tc>
          <w:tcPr>
            <w:tcW w:w="9520" w:type="dxa"/>
          </w:tcPr>
          <w:p w14:paraId="6E4FC1D0" w14:textId="36327A94" w:rsidR="00260CAB" w:rsidRPr="00260CAB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9C54AE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60C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260CAB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1AFE0E06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2E216F">
        <w:rPr>
          <w:rFonts w:ascii="Corbel" w:hAnsi="Corbel"/>
          <w:b w:val="0"/>
          <w:smallCaps w:val="0"/>
          <w:szCs w:val="24"/>
        </w:rPr>
        <w:t>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60CAB" w:rsidRPr="00161AB3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0F9BFE1D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433A2AAF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521E941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16FEE21" w:rsidR="00D45B17" w:rsidRPr="009C54AE" w:rsidRDefault="00D412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9C54AE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648EEDEC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2370E2">
              <w:rPr>
                <w:rFonts w:ascii="Corbel" w:hAnsi="Corbel"/>
                <w:sz w:val="24"/>
                <w:szCs w:val="24"/>
              </w:rPr>
              <w:t>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370E2">
              <w:rPr>
                <w:rFonts w:ascii="Corbel" w:hAnsi="Corbel"/>
                <w:sz w:val="24"/>
                <w:szCs w:val="24"/>
              </w:rPr>
              <w:t>1</w:t>
            </w:r>
            <w:r w:rsidR="00260CAB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C9D1C98" w:rsidR="00D45B17" w:rsidRPr="009C54AE" w:rsidRDefault="00D412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372C62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785F0D" w:rsidRDefault="00785F0D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785F0D" w:rsidRDefault="00785F0D" w:rsidP="00785F0D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785F0D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sz w:val="24"/>
                <w:szCs w:val="24"/>
              </w:rPr>
              <w:t>Bławat F., Drajska E., Figura P., Gawrycka M., Korol T., Prusak B.,  Analiza finansowa przedsiębiorstwa.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85F0D">
              <w:rPr>
                <w:rFonts w:ascii="Corbel" w:hAnsi="Corbel"/>
                <w:sz w:val="24"/>
                <w:szCs w:val="24"/>
              </w:rPr>
              <w:t>Finansowanie, inwestycje, wartość, syntetyczna, ocena kondycji finansowe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785F0D">
              <w:rPr>
                <w:rFonts w:ascii="Corbel" w:hAnsi="Corbel"/>
                <w:sz w:val="24"/>
                <w:szCs w:val="24"/>
              </w:rPr>
              <w:t>. CeDeWu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 Warszawa 2017.</w:t>
            </w:r>
          </w:p>
          <w:p w14:paraId="22E73BDD" w14:textId="77777777" w:rsidR="00785F0D" w:rsidRPr="0054659E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color w:val="000000"/>
                <w:sz w:val="24"/>
                <w:szCs w:val="24"/>
              </w:rPr>
              <w:t>Lichota W</w:t>
            </w:r>
            <w:r w:rsidRPr="0054659E">
              <w:rPr>
                <w:rFonts w:ascii="Corbel" w:hAnsi="Corbel"/>
                <w:color w:val="000000"/>
                <w:sz w:val="24"/>
                <w:szCs w:val="24"/>
              </w:rPr>
              <w:t>., Polskie specjalne strefy ekonomiczne - Efekty finansowe, Wydawnictwo Wyższej Szkoły Biznesu i Przedsiębiorczości w Ostrowcu Świętokrzyskim, Ostrowiec Świętokrzyski 2019</w:t>
            </w:r>
          </w:p>
          <w:p w14:paraId="372FB13A" w14:textId="29524BC4" w:rsidR="0054659E" w:rsidRPr="00785F0D" w:rsidRDefault="0054659E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54659E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785F0D" w:rsidRPr="00372C62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785F0D" w:rsidRDefault="00785F0D" w:rsidP="000701FD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Antonowicz P., Metody oceny i prognoza kondycji ekonomiczno-finansowej przedsiębiorstw. ODiDK, Gdańsk 2007.</w:t>
            </w:r>
          </w:p>
          <w:p w14:paraId="36049021" w14:textId="0D4ADE5B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</w:t>
            </w:r>
            <w:r>
              <w:rPr>
                <w:rFonts w:ascii="Corbel" w:hAnsi="Corbel" w:cs="Corbel"/>
                <w:b w:val="0"/>
                <w:bCs/>
                <w:smallCaps w:val="0"/>
                <w:szCs w:val="24"/>
              </w:rPr>
              <w:t>.</w:t>
            </w:r>
          </w:p>
          <w:p w14:paraId="681A0C64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A9063" w14:textId="77777777" w:rsidR="000755C2" w:rsidRDefault="000755C2" w:rsidP="00C16ABF">
      <w:pPr>
        <w:spacing w:after="0" w:line="240" w:lineRule="auto"/>
      </w:pPr>
      <w:r>
        <w:separator/>
      </w:r>
    </w:p>
  </w:endnote>
  <w:endnote w:type="continuationSeparator" w:id="0">
    <w:p w14:paraId="0A93EEFC" w14:textId="77777777" w:rsidR="000755C2" w:rsidRDefault="000755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AAF93" w14:textId="77777777" w:rsidR="000755C2" w:rsidRDefault="000755C2" w:rsidP="00C16ABF">
      <w:pPr>
        <w:spacing w:after="0" w:line="240" w:lineRule="auto"/>
      </w:pPr>
      <w:r>
        <w:separator/>
      </w:r>
    </w:p>
  </w:footnote>
  <w:footnote w:type="continuationSeparator" w:id="0">
    <w:p w14:paraId="20556AAC" w14:textId="77777777" w:rsidR="000755C2" w:rsidRDefault="000755C2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ABB"/>
    <w:rsid w:val="000755C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0E2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06A0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ACA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4659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40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9595F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15909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40C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63B8"/>
    <w:rsid w:val="00B06142"/>
    <w:rsid w:val="00B10D15"/>
    <w:rsid w:val="00B10FAF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12F8"/>
    <w:rsid w:val="00D425B2"/>
    <w:rsid w:val="00D428D6"/>
    <w:rsid w:val="00D45B17"/>
    <w:rsid w:val="00D552B2"/>
    <w:rsid w:val="00D608D1"/>
    <w:rsid w:val="00D6094C"/>
    <w:rsid w:val="00D74119"/>
    <w:rsid w:val="00D8075B"/>
    <w:rsid w:val="00D8678B"/>
    <w:rsid w:val="00DA2114"/>
    <w:rsid w:val="00DA6057"/>
    <w:rsid w:val="00DC6D0C"/>
    <w:rsid w:val="00DE09C0"/>
    <w:rsid w:val="00DE1323"/>
    <w:rsid w:val="00DE4A14"/>
    <w:rsid w:val="00DF320D"/>
    <w:rsid w:val="00DF71C8"/>
    <w:rsid w:val="00E129B8"/>
    <w:rsid w:val="00E1719D"/>
    <w:rsid w:val="00E21E7D"/>
    <w:rsid w:val="00E22FBC"/>
    <w:rsid w:val="00E2320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BD5F0E-508F-48B0-A3A1-24D5EBD4A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AAE4AE-40F9-4515-B1B5-69E3BC62D8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14A53C-2D92-430D-ADF9-912D9D1B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E5A6E9-BC12-4B21-A723-F6CBB9955A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1147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16</cp:revision>
  <cp:lastPrinted>2019-02-06T12:12:00Z</cp:lastPrinted>
  <dcterms:created xsi:type="dcterms:W3CDTF">2020-10-26T21:43:00Z</dcterms:created>
  <dcterms:modified xsi:type="dcterms:W3CDTF">2021-11-04T08:12:00Z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