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77777777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E2649">
        <w:rPr>
          <w:rFonts w:ascii="Corbel" w:hAnsi="Corbel" w:cs="Corbel"/>
          <w:b/>
          <w:bCs/>
          <w:smallCaps/>
          <w:sz w:val="24"/>
          <w:szCs w:val="24"/>
        </w:rPr>
        <w:t>2020-2022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446F206D" w14:textId="2EA94766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2020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2021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r w:rsidRPr="002D69B4">
              <w:rPr>
                <w:rFonts w:ascii="Corbel" w:hAnsi="Corbel" w:cs="Corbel"/>
                <w:lang w:val="en-US"/>
              </w:rPr>
              <w:t>FiR/II/RiA/C.10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2CCD5CAC" w:rsidR="005D1C65" w:rsidRPr="00326FD5" w:rsidRDefault="001B5386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D33162" w:rsidR="005D1C65" w:rsidRPr="00326FD5" w:rsidRDefault="000A09F2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5D3A9643" w:rsidR="005D1C65" w:rsidRPr="00326FD5" w:rsidRDefault="000A09F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6BAE7B8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0A09F2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A09F2"/>
    <w:rsid w:val="000E68A5"/>
    <w:rsid w:val="001B5386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7921</Characters>
  <Application>Microsoft Office Word</Application>
  <DocSecurity>0</DocSecurity>
  <Lines>66</Lines>
  <Paragraphs>18</Paragraphs>
  <ScaleCrop>false</ScaleCrop>
  <Company>Właściciel</Company>
  <LinksUpToDate>false</LinksUpToDate>
  <CharactersWithSpaces>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Ewelina Rabiej</cp:lastModifiedBy>
  <cp:revision>13</cp:revision>
  <dcterms:created xsi:type="dcterms:W3CDTF">2020-11-02T15:02:00Z</dcterms:created>
  <dcterms:modified xsi:type="dcterms:W3CDTF">2021-11-04T08:14:00Z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