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50B66AC8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60B9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Pr="00FE065C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7846E9AA" w14:textId="2151020B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47CB6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B47CB6">
        <w:rPr>
          <w:rFonts w:ascii="Corbel" w:hAnsi="Corbel"/>
          <w:sz w:val="20"/>
          <w:szCs w:val="20"/>
        </w:rPr>
        <w:t>2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FiR/II/A.5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Stacjonarność, integracja i kointegracja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Modele wielorównaniowe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Istota i rodzaje modeli wielorównaniowych.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r w:rsidRPr="00D94016">
              <w:rPr>
                <w:rFonts w:ascii="Corbel" w:hAnsi="Corbel"/>
                <w:sz w:val="24"/>
                <w:szCs w:val="24"/>
              </w:rPr>
              <w:t>Durbina-Watsona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Shapiro-Wilka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>(test Goldfelda-Quandta)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Czyżycki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Anholcer M., Gaspars-Wieloch H., 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B87DC" w14:textId="77777777" w:rsidR="00BA7C78" w:rsidRDefault="00BA7C78" w:rsidP="00FE065C">
      <w:pPr>
        <w:spacing w:after="0" w:line="240" w:lineRule="auto"/>
      </w:pPr>
      <w:r>
        <w:separator/>
      </w:r>
    </w:p>
  </w:endnote>
  <w:endnote w:type="continuationSeparator" w:id="0">
    <w:p w14:paraId="208CABCC" w14:textId="77777777" w:rsidR="00BA7C78" w:rsidRDefault="00BA7C78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FF159" w14:textId="77777777" w:rsidR="00BA7C78" w:rsidRDefault="00BA7C78" w:rsidP="00FE065C">
      <w:pPr>
        <w:spacing w:after="0" w:line="240" w:lineRule="auto"/>
      </w:pPr>
      <w:r>
        <w:separator/>
      </w:r>
    </w:p>
  </w:footnote>
  <w:footnote w:type="continuationSeparator" w:id="0">
    <w:p w14:paraId="5FA3ED69" w14:textId="77777777" w:rsidR="00BA7C78" w:rsidRDefault="00BA7C78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261A"/>
    <w:rsid w:val="007C587C"/>
    <w:rsid w:val="008218D1"/>
    <w:rsid w:val="00950B36"/>
    <w:rsid w:val="009C0EBC"/>
    <w:rsid w:val="00B47CB6"/>
    <w:rsid w:val="00B87972"/>
    <w:rsid w:val="00B92EFF"/>
    <w:rsid w:val="00BA7C78"/>
    <w:rsid w:val="00BB14EA"/>
    <w:rsid w:val="00C30A83"/>
    <w:rsid w:val="00CB5F63"/>
    <w:rsid w:val="00D063CE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27</cp:revision>
  <dcterms:created xsi:type="dcterms:W3CDTF">2020-10-22T16:06:00Z</dcterms:created>
  <dcterms:modified xsi:type="dcterms:W3CDTF">2021-11-04T07:45:00Z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